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2C_718/2017 vom 26. Oktober 2017</w:t>
      </w:r>
    </w:p>
    <w:p>
      <w:r>
        <w:t>Bundesgericht, 2017-10-26, FR</w:t>
      </w:r>
    </w:p>
    <w:p>
      <w:r>
        <w:rPr>
          <w:b/>
        </w:rPr>
        <w:t xml:space="preserve">Quelle: </w:t>
      </w:r>
      <w:r>
        <w:t>https://mcp.opencaselaw.ch/entscheid/bger_2C_718_2017</w:t>
      </w:r>
    </w:p>
    <w:p>
      <w:r>
        <w:t>FR: TF 2C_718/2017 du 26 octobre 2017</w:t>
      </w:r>
    </w:p>
    <w:p>
      <w:r>
        <w:t>IT: TF 2C_718/2017 del 26 ottobre 2017</w:t>
      </w:r>
    </w:p>
    <w:p>
      <w:pPr>
        <w:pStyle w:val="Heading2"/>
      </w:pPr>
      <w:r>
        <w:t>Erwägungen</w:t>
      </w:r>
    </w:p>
    <w:p>
      <w:r>
        <w:rPr>
          <w:b/>
        </w:rPr>
        <w:t>E. 1.1</w:t>
      </w:r>
    </w:p>
    <w:p>
      <w:r>
        <w:t>En matière de mesures de contrainte, la décision rendue en dernière instance cantonale par la Présidente de la Cour administrative du Tribunal cantonal du canton du Jura peut faire l'objet d'un recours en matière de droit public au Tribunal fédéral (cf. art. 82 let. a, 86 et 90 LTF ; cf. arrêt 2C_383/2017 du 26 avril 2017 consid. 3). Le recours a en outre été déposé en temps utile contre la décision rendue le 22 juin 2017 et notifiée au Secrétariat d'Etat aux migrations le 26 juin 2017 (art. 45 al. 1, 46 al. 1 let. b et 100 LTF).</w:t>
      </w:r>
    </w:p>
    <w:p>
      <w:r>
        <w:t>Le Secrétariat d'Etat aux migrations conclut à l'annulation de la décision du 22 juin 2017. Il ne formule toutefois aucun grief à l'appui de cette conclusion, qui doit par conséquent être déclarée irrecevable pour absence de motivation.</w:t>
      </w:r>
    </w:p>
    <w:p>
      <w:r>
        <w:rPr>
          <w:b/>
        </w:rPr>
        <w:t>E. 1.2</w:t>
      </w:r>
    </w:p>
    <w:p>
      <w:r>
        <w:t>Le Secrétariat d'Etat aux migrations conclut également à l'annulation de la décision du 6 avril 2017 prononçant la suspension du renvoi de l'intéressé. La question de savoir si le délai de recours contre cette décision est respecté ainsi que celle de savoir si l' art. 93 al. 3 LTF s'applique en l'espèce peuvent demeurer ouvertes, du moment que la décision du 6 avril 2017 constitue bien une mesure provisionnelle au sens de l' art. 98 LTF (arrêt 2C_855/2017 du 10 octobre 2017 consid. 2.1 in fine) et que le mémoire de recours ne contient aucun grief tendant à démontrer la violation de droits constitutionnels conformément aux exigences accrues de motivation de l' art. 106 al. 2 LTF .</w:t>
      </w:r>
    </w:p>
    <w:p>
      <w:r>
        <w:rPr>
          <w:b/>
        </w:rPr>
        <w:t>E. 2</w:t>
      </w:r>
    </w:p>
    <w:p>
      <w:r>
        <w:t>.</w:t>
      </w:r>
    </w:p>
    <w:p>
      <w:r>
        <w:t>Le recours est par conséquent irrecevable. Il n'est pas perçu de frais de justice ( art. 66 al. 4 LTF ). Il n'est pas alloué de dépens ( art. 68 al. 1 LTF ), l'intimé ne s'étant pas prononcé où n'étant pas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