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2C_718/2007 vom 8. Januar 2008</w:t>
      </w:r>
    </w:p>
    <w:p>
      <w:r>
        <w:t>Bundesgericht, 2008-01-08, IT</w:t>
      </w:r>
    </w:p>
    <w:p>
      <w:r>
        <w:rPr>
          <w:b/>
        </w:rPr>
        <w:t xml:space="preserve">Quelle: </w:t>
      </w:r>
      <w:r>
        <w:t>https://mcp.opencaselaw.ch/entscheid/bger_2C_718_2007</w:t>
      </w:r>
    </w:p>
    <w:p>
      <w:r>
        <w:t>FR: TF 2C_718/2007 du 8 janvier 2008</w:t>
      </w:r>
    </w:p>
    <w:p>
      <w:r>
        <w:t>IT: TF 2C_718/2007 del 8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seguito al suo matrimonio, celebrato il 5 agosto 2004 in Turchia con una cittadina svizzera, A.________, cittadino turco (1976), si è visto rilasciare, il 5 gennaio 2005 dalla Sezione dei permessi e dell'immigrazione del Dipartimento delle istituzioni del Cantone Ticino, un permesso di dimora annuale valido fino al 17 dicembre 2007. Il 3 aprile 2007 è stato sciolto per divorzio il matrimonio dei coniugi A.________. Presone atto, la Sezione dei permessi e dell'immigrazione ha revocato, il 3 luglio 2007, l'autorizzazione di soggiorno di A.________ e gli ha concesso un termine al 31 agosto 2007 per lasciare la Svizzera.</w:t>
      </w:r>
    </w:p>
    <w:p>
      <w:r>
        <w:t>Detta decisione è stata confermata su ricorso dapprima dal Consiglio di Stato del Cantone Ticino, il 12 settembre 2007, e poi dal Tribunale cantonale amministrativo, il 30 ottobre 2007.</w:t>
      </w:r>
    </w:p>
    <w:p>
      <w:r>
        <w:rPr>
          <w:b/>
        </w:rPr>
        <w:t>E. 2</w:t>
      </w:r>
    </w:p>
    <w:p>
      <w:r>
        <w:t>L'11 dicembre 2007 A.________ ha impugnato la sentenza cantonale dinanzi al Tribunale federale, chiedendo che fosse annullata e che gli venisse rilasciato un permesso di dimora. Adduce una violazione degli art. 8 e 9 Cost. nonché domanda di essere esentato dal pagare spese e tasse di giustizia.</w:t>
      </w:r>
    </w:p>
    <w:p>
      <w:r>
        <w:t>Il Tribunale federale non ha ordinato uno scambio di allegati scritti.</w:t>
      </w:r>
    </w:p>
    <w:p>
      <w:r>
        <w:rPr>
          <w:b/>
        </w:rPr>
        <w:t>E. 3.1</w:t>
      </w:r>
    </w:p>
    <w:p>
      <w:r>
        <w:t>Il Tribunale federale esamina d'ufficio e con piena cognizione l'ammissibilità di un rimedio di diritto, senza essere vincolato dalle opinioni espresse dalle parti ( art. 29 cpv. 1 LTF ).</w:t>
      </w:r>
    </w:p>
    <w:p>
      <w:r>
        <w:rPr>
          <w:b/>
        </w:rPr>
        <w:t>E. 3.2</w:t>
      </w:r>
    </w:p>
    <w:p>
      <w:r>
        <w:t>Conformemente all'art. 83 lett. c n. 2 LTF, il ricorso in materia di diritto pubblico è inammissibile contro le decisioni in materia di diritto degli stranieri concernenti i permessi o autorizzazioni al cui ottenimento né il diritto federale né il diritto internazionale conferiscono un diritto. Come già spiegato da questa Corte, trattandosi non del rilascio iniziale o della proroga bensì della revoca di un permesso già concesso, detto rimedio è invece ricevibile nei casi in cui, senza la revoca, l'autorizzazione continuerebbe a produrre effetti giuridici (cfr. sentenze 2C_21/2007 del 16 aprile 2007 consid. 1.2 e 2D_8/2007 del 24 maggio 2007 consid. 1.2.1 e rispettivi rinvii). Ciò non è tuttavia il caso in concreto, dato che il permesso oggetto di disamina è oramai scaduto dal 17 dicembre 2007. Rimane quindi da valutare la fattispecie dal profilo del rifiuto del rinnovo del citato permesso.</w:t>
      </w:r>
    </w:p>
    <w:p>
      <w:r>
        <w:rPr>
          <w:b/>
        </w:rPr>
        <w:t>E. 3.3</w:t>
      </w:r>
    </w:p>
    <w:p>
      <w:r>
        <w:t>In concreto il ricorrente non può prevalersi di una disposizione specifica dell'ordinamento legislativo federale o di un accordo internazionale, di cui potrebbe derivargli un diritto al rilascio dell'autorizzazione sollecitata. In particolare non può appellarsi all' art. 8 CEDU (sui requisiti di applicazione, cfr. DTF 126 II 335 consid. 2a; 130 II 281 consid. 3 e rispettivi richiami) né ai disposti dell'ordinanza che limita l'effettivo degli stranieri (OLS; cfr. DTF 130 II 281 consid. 2.2). Il ricorso in materia di diritto pubblico è quindi inammissibile (art. 83 lett. c n. 2 LTF).</w:t>
      </w:r>
    </w:p>
    <w:p>
      <w:r>
        <w:rPr>
          <w:b/>
        </w:rPr>
        <w:t>E. 3.4</w:t>
      </w:r>
    </w:p>
    <w:p>
      <w:r>
        <w:t>Rimane da vagliare se il ricorso sussidiario in materia costituzionale sia ricevibile. Giusta l' art. 115 lett. b LTF è legittimato a proporre questo rimedio di diritto chi ha un interesse legittimo all'annullamento o alla modifica della decisione impugnata. Sennonché, come già spiegato dal Tribunale federale, il divieto generale dell'arbitrio sgorgante dall' art. 9 Cost. non conferisce, di per sé, un interesse legittimo ai sensi dell' art. 115 lett. b LTF quando, come in concreto, viene censurata un'errata applicazione del diritto (cfr. DTF 133 I 185 consid. 6.1 e 6.3). Le censure riferite alla pretesa violazione del principio della parità di trattamento e del divieto dell'arbitrio sono quindi inammissibili. Osservato poi che il ricorrente non fa valere la disattenzione dei suoi diritti di parte, la cui violazione costituirebbe un diniego di giustizia formale ( DTF 133 I 185 consid. 6.2), anche trattato quale ricorso sussidiario in materia costituzionale, il gravame è inammissibile.</w:t>
      </w:r>
    </w:p>
    <w:p>
      <w:r>
        <w:rPr>
          <w:b/>
        </w:rPr>
        <w:t>E. 4</w:t>
      </w:r>
    </w:p>
    <w:p>
      <w:r>
        <w:t>Per i motivi illustrati, il gravame si avvera pertanto manifestamente inammissibile ( art. 108 cpv. 1 lett. a LTF ) e va deciso secondo la procedura semplificata dell' art. 108 LTF . Dal momento che il gravame era sin dall'inizio privo di possibilità di esito favorevole, la domanda di assistenza giudiziaria dev'essere parimenti respinta ( art. 64 LTF ). Le spese seguono pertanto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