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2C_714/2014 vom 15. Mai 2015</w:t>
      </w:r>
    </w:p>
    <w:p>
      <w:r>
        <w:t>Bundesgericht, 2015-05-15, DE</w:t>
      </w:r>
    </w:p>
    <w:p>
      <w:r>
        <w:rPr>
          <w:b/>
        </w:rPr>
        <w:t xml:space="preserve">Quelle: </w:t>
      </w:r>
      <w:r>
        <w:t>https://mcp.opencaselaw.ch/entscheid/bger_2C_714_2014</w:t>
      </w:r>
    </w:p>
    <w:p>
      <w:r>
        <w:t>FR: TF 2C_714/2014 du 15 mai 2015</w:t>
      </w:r>
    </w:p>
    <w:p>
      <w:r>
        <w:t>IT: TF 2C_714/2014 del 15 maggio 2015</w:t>
      </w:r>
    </w:p>
    <w:p>
      <w:pPr>
        <w:pStyle w:val="Heading2"/>
      </w:pPr>
      <w:r>
        <w:t>Erwägungen</w:t>
      </w:r>
    </w:p>
    <w:p>
      <w:r>
        <w:rPr>
          <w:b/>
        </w:rPr>
        <w:t>E. 1</w:t>
      </w:r>
    </w:p>
    <w:p>
      <w:r>
        <w:t>Gegen den kantonal letztinstanzlichen Endentscheid ( Art. 86 Abs. 1 lit. d und Abs. 2 sowie Art. 90 BGG ) betreffend die Verweigerung des Familiennachzugs ist die Beschwerde in öffentlich-rechtlichen Angelegenheiten zulässig, weil die Beschwerdeführer gestützt auf Art. 42 Abs. 1 AuG (SR 142.20) grundsätzlich einen Anspruch auf Erteilung einer Bewilligung geltend machen können ( Art. 83 lit. c Ziff. 2 BGG e contrario). Zudem können sich die Beschwerdeführer auf das Recht auf Achtung des Familienlebens nach Art. 8 Ziff. 1 EMRK bzw. Art. 13 Abs. 1 BV berufen. Ob die jeweiligen Voraussetzungen tatsächlich gegeben sind, bildet praxisgemäss Gegenstand der materiellen Beurteilung und ist keine Eintretensfrage ( BGE 136 II 177 E. 1.1 S. 179 f.; Urteil 2C_295/2014 vom 12. Januar 2015 E. 1).</w:t>
      </w:r>
    </w:p>
    <w:p>
      <w:r>
        <w:t>Auf die im Übrigen form- und fristgerecht eingereichte Beschwerde (vgl. Art. 42 und 100 Abs. 1 BGG ) der hierzu legitimierten Beschwerdeführer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3.1</w:t>
      </w:r>
    </w:p>
    <w:p>
      <w:r>
        <w:t>Der Nachzug ausländischer Familienangehöriger von Schweizerinnen und Schweizern wird durch Art. 42 AuG geregelt. Gemäss Art. 42 Abs. 1 AuG hat der ausländische Ehegatte einer Schweizerin Anspruch auf Erteilung und Verlängerung einer Aufenthaltsbewilligung, wenn er mit dieser zusammenwohnt. Nach Art. 51 Abs. 1 lit. b AuG erlischt dieser Anspruch, wenn Widerrufsgründe nach Art. 63 AuG vorliegen. Ein solcher Widerrufsgrund ist gegeben, wenn die ausländische Person zu einer längerfristigen Freiheitsstrafe, d.h. zu einer solchen von mehr als einem Jahr, verurteilt worden ist (Art. 63 Abs. 1 lit. a i.V.m. Art. 62 lit. b AuG; BGE 137 II 297 E. 2.1 S. 299; 135 II 377 E. 4.2 S. 381).</w:t>
      </w:r>
    </w:p>
    <w:p>
      <w:r>
        <w:t>Mit der Verurteilung zu einer Freiheitsstrafe von drei Jahren und sechs Monaten im Jahr 2002 hat der Beschwerdeführer 1 den Widerrufsgrund von Art. 63 Abs. 1 lit. a AuG in Verbindung mit Art. 62 lit. b AuG gesetzt. Gemäss Art. 51 ist damit der Anspruch auf Familiennachzug grundsätzlich erloschen.</w:t>
      </w:r>
    </w:p>
    <w:p>
      <w:r>
        <w:rPr>
          <w:b/>
        </w:rPr>
        <w:t>E. 3.2</w:t>
      </w:r>
    </w:p>
    <w:p>
      <w:r>
        <w:t>Die Verweigerung einer Aufenthaltsbewilligung wegen des Vorliegens von Erlöschensgründen nach Art. 51 AuG setzt eine Verhältnismässigkeitsprüfung voraus (Art. 96 AuG; Urteil 2C_1170/2012 vom 24. Mai 2013 E. 3.2). Da der Beschwerdeführer 1 mit einer Schweizerin verheiratet und Vater von zwei Schweizer Kindern ist, sind vorliegend auch die aus Art. 8 EMRK bzw. Art. 13 BV abzuleitenden Anforderungen zu berücksichtigen. Diese Bestimmungen garantieren zwar kein Recht auf Aufenthalt in einem bestimmten Staat. Es kann aber das in Art. 8 EMRK bzw. Art. 13 BV geschützte Recht auf Achtung des Privat- und Familienlebens verletzen, wenn einer ausländischen Person, deren Familienangehörige sich hier aufhalten, die Anwesenheit untersagt und damit ihr Zusammenleben vereitelt wird ( BGE 135 I 143 E. 1.3.1 S. 145 ;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Der Anspruch gilt aber auch dann nicht absolut: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(zum Ganzen BGE 139 I 330 E. 2.1 und 2.2 S. 335 f. mit weiteren Hinweisen).</w:t>
      </w:r>
    </w:p>
    <w:p>
      <w:r>
        <w:rPr>
          <w:b/>
        </w:rPr>
        <w:t>E. 3.3</w:t>
      </w:r>
    </w:p>
    <w:p>
      <w:r>
        <w:t>Eine strafrechtliche Verurteilung verunmöglicht die Erteilung einer (neuen) Aufenthaltsbewilligung nicht zwingend ein für allemal. Soweit der Ausländer, gegen den Fernhaltemassnahmen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(vgl. BGE 130 II 493 E. 5 S. 504; Urteil 2C_995/2014 vom 11. November 2014 E. 3.3).</w:t>
      </w:r>
    </w:p>
    <w:p>
      <w:r>
        <w:t>Gemäss Rechtsprechung des Bundesgerichts ist für den Zeitpunkt der Neubeurteilung an die Regelung zur Dauer des Einreiseverbots in Art. 67 AuG anzuknüpfen. Hat sich der Betroffene während fünf Jahren im Ausland bewährt, ist es regelmässig angezeigt, den Anspruch auf Familiennachzug neu zu prüfen (Urteile 2C_1224/2013 vom 12. Dezember 2014 E. 5.1.2; 2C_1170/2012 vom 24. Mai 2013 E. 3.4).</w:t>
      </w:r>
    </w:p>
    <w:p>
      <w:r>
        <w:rPr>
          <w:b/>
        </w:rPr>
        <w:t>E. 4.1</w:t>
      </w:r>
    </w:p>
    <w:p>
      <w:r>
        <w:t>Die Beschwerdeführer machen im Wesentlichen geltend, es bestehe kein erhebliches öffentliches Interesse mehr an der Fernhaltung des Beschwerdeführers 1. Es müsse von einer Bewährung des Beschwerdeführers 1 ausgegangen werden. Die Freiheitsstrafe von drei Jahren und sechs Monaten, zu welcher er im Jahr 2002 verurteilt worden sei, beziehe sich auf Straftaten aus dem Jahr 2000. Auch in Bezug auf die Straftaten, die Anlass zum Strafbefehl vom 4. April 2013 gegeben hätten, sei die Fünfjahresfrist abgelaufen, da die Taten in den Jahren 2006-2007 begangen worden seien. Die Straftaten, die zur Verurteilung des Beschwerdeführers 1 im Jahr 2011 Anlass gegeben hätten, seien rein ausländerrechtlicher Natur und könnten die Verweigerung des Familiennachzugs nicht rechtfertigen.</w:t>
      </w:r>
    </w:p>
    <w:p>
      <w:r>
        <w:rPr>
          <w:b/>
        </w:rPr>
        <w:t>E. 4.2</w:t>
      </w:r>
    </w:p>
    <w:p>
      <w:r>
        <w:t>Die Beschwerdeführer verkennen, dass der Ablauf der fünfjährigen ausländerrechtlichen Bewährungsfrist nicht automatisch das Dahinfallen der Erlöschensgründe zur Folge hat. Wie die Vorinstanz unter Verweis auf die bundesgerichtliche Rechtsprechung zutreffend ausführt, rechtfertigt zwar der Ablauf der Fünfjahresfrist eine Neubeurteilung des Anspruchs auf Familiennachzug nach den Art. 42 ff. AuG; dies bedeutet aber nicht, dass die früheren Straftaten durch den Zeitablauf bereits derart an Gewicht verloren haben, dass sie als Erlöschensgründe ausser Betracht fallen. Vielmehr ist bei der materiellen Beurteilung eine umfassende Güterabwägung vorzunehmen, wobei die durch den Zeitablauf nachlassende Wirkung der Erlöschensgründe gegen die privaten Interessen der betroffenen Personen abzuwägen ist (2C_1170/2012 vom 24. Mai 2013 E. 3.5.2).</w:t>
      </w:r>
    </w:p>
    <w:p>
      <w:r>
        <w:rPr>
          <w:b/>
        </w:rPr>
        <w:t>E. 4.3</w:t>
      </w:r>
    </w:p>
    <w:p>
      <w:r>
        <w:t>Die Vorinstanz ist denn auch zu Recht davon ausgegangen, dass die ausländerrechtliche Bewährungsfrist in Bezug auf die im Jahr 2002 ausgesprochene Freiheitsstrafe von drei Jahren und sechs Monaten abgelaufen und eine neue Prüfung vorzunehmen ist. Das Verwaltungsgericht hat jedoch im Rahmen dieser neuen Prüfung erwogen, der Beschwerdeführer 1 habe sich seit seiner Verurteilung wegen massiver Drogendelinquenz im Jahr 2002 nicht klaglos verhalten. Bis ins Jahr 2010 habe er wiederholt gegen die Schweizerische Rechtsordnung verstossen. Im Jahr 2007 sei er zudem erneut im Betäubungsmittelbereich straffällig geworden. Den vorinstanzlichen Sachverhaltsfeststellungen lässt sich ferner entnehmen, dass der Beschwerdeführer 1 die im Jahr 2004 verhängte Einreisesperre wiederholt missachtet hat. Er wurde insgesamt vier Mal in sein Heimatland ausgeschafft, letztmals am 30. September 2010. Im Jahr 2011 wurde er zudem zu einer Freiheitsstrafe von sechs Monaten wegen rechtswidriger Einreise und rechtswidrigem Aufenthalt (begangen im April/Mai 2010) verurteilt.</w:t>
      </w:r>
    </w:p>
    <w:p>
      <w:r>
        <w:t>Das Verhalten des Beschwerdeführers 1 lässt somit gewisse Zweifel daran aufkommen, ob er künftig bereit ist, sich vorbehaltlos an die Schweizerische Rechtsordnung zu halten, wie dies unter den gegebenen Umständen von ihm erwartet werden darf. Hinzu kommt, dass der Beschwerdeführer 1 nicht nachweist, dass er sich seit seiner letzten Ausschaffung am 30. September 2010 im Heimatland wohlverhalten hat. In Anbetracht dieser Umstände ist nicht zu beanstanden, dass die Vorinstanz von einem nach wie vor erheblichen sicherheitspolizeilichen Interesse an der Fernhaltung des Beschwerdeführers 1 ausging.</w:t>
      </w:r>
    </w:p>
    <w:p>
      <w:r>
        <w:rPr>
          <w:b/>
        </w:rPr>
        <w:t>E. 4.4</w:t>
      </w:r>
    </w:p>
    <w:p>
      <w:r>
        <w:t>Das Verwaltungsgericht hat sich auch einlässlich mit den privaten Interessen der Beschwerdeführer auseinandergesetzt. Von Bedeutung ist in diesem Zusammenhang die familiäre Beziehung des Beschwerdeführers 1 zu seiner hier lebenden Schweizer Ehefrau und seinen beiden Kindern, die ebenfalls das Schweizer Bürgerrecht besitzen. Wie die Vorinstanz zutreffend ausführt, fällt im Rahmen der Interessenabwägung ins Gewicht, dass die Beschwerdeführerin 2 zum Zeitpunkt der Eheschliessung Kenntnis von der deliktischen Vergangenheit des Beschwerdeführers 1 und der bestehenden Einreisesperre hatte und daher nicht ohne Weiteres davon ausgehen konnte, das Familienleben in der Schweiz leben zu können. Zu beachten ist auch, dass die (heute 28-jährige) eingebürgerte Ehegattin des Beschwerdeführers 1 wie er selbst aus dem Kosovo stammt und mit den dortigen Verhältnissen vertraut ist. Gemäss den vorinstanzlichen Sachverhaltsfeststellungen fand die Hochzeit der Beschwerdeführer im Kosovo statt. Die Beschwerdeführerin 2 hat ihren Ehemann dort auch regelmässig besucht. Eine Übersiedlung der Ehefrau und der Kinder in den Kosovo zwecks Familienvereinigung wäre zwar mit Schwierigkeiten verbunden. Jedoch erscheint dies in der Gesamtbetrachtung nicht geradezu unzumutbar, zumal die beiden Kinder des Ehepaares noch in einem anpassungsfähigen Alter sind.</w:t>
      </w:r>
    </w:p>
    <w:p>
      <w:r>
        <w:rPr>
          <w:b/>
        </w:rPr>
        <w:t>E. 4.5</w:t>
      </w:r>
    </w:p>
    <w:p>
      <w:r>
        <w:t>Unter Würdigung aller Umstände erscheint es derzeit noch vertretbar, wenn das Verwaltungsgericht das öffentliche Interesse an der Fernhaltung des Beschwerdeführers 1 nach wie vor höher gewichtet als die privaten Interessen an seiner dauerhaften Anwesenheit in der Schweiz.</w:t>
      </w:r>
    </w:p>
    <w:p>
      <w:r>
        <w:t>Die Vorinstanz weist jedoch zutreffend darauf hin, dass das öffentliche Fernhalteinteresse mit zunehmendem Zeitablauf an Bedeutung verliert, wenn sich der Beschwerdeführer 1 wohlverhält. Mit Blick auf die Interessenlage erwägt das Verwaltungsgericht, dass sich zu Beginn des Jahres 2016 eine weitere Einschränkung des Anspruchs der Beschwerdeführer nach Art. 42 AuG nicht mehr werde rechtfertigen können, sofern eine intakte familiäre Beziehung vorliege und der Beschwerdeführer 1 sein Wohlverhalten nachweisen könne. Diese Frist erweist sich in der Gesamtbetrachtung als verhältnismässig, werden doch im Januar 2016 fünf Jahre seit der letzten strafrechtlichen Verurteilung (11. Januar 2011), mehr als fünfeinhalb Jahre seit der letzten aktenkundigen Straftat (April/Mai 2010) und etwas über fünf Jahre seit der letzten Ausschaffung des Beschwerdeführers 1 (30. September 2010) vergangen sein.</w:t>
      </w:r>
    </w:p>
    <w:p>
      <w:r>
        <w:rPr>
          <w:b/>
        </w:rPr>
        <w:t>E. 5</w:t>
      </w:r>
    </w:p>
    <w:p>
      <w:r>
        <w:t>Dem Dargelegten zufolge ist die Beschwerde unbegründet und damit abzuweisen.</w:t>
      </w:r>
    </w:p>
    <w:p>
      <w:r>
        <w:t>Diesem Ausgang entsprechend haben die Beschwerdeführer die Gerichtskosten von Fr. 2'000.-- zu tragen ( Art. 66 Abs. 1 BGG ). Sie haften für den Gesamtbetrag solidarisch ( Art. 66 Abs. 5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