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2C_713/2016 vom 25. März 2020</w:t>
      </w:r>
    </w:p>
    <w:p>
      <w:r>
        <w:t>Bundesgericht, 2020-03-25, IT</w:t>
      </w:r>
    </w:p>
    <w:p>
      <w:r>
        <w:rPr>
          <w:b/>
        </w:rPr>
        <w:t xml:space="preserve">Quelle: </w:t>
      </w:r>
      <w:r>
        <w:t>https://mcp.opencaselaw.ch/entscheid/bger_2C_713_2016</w:t>
      </w:r>
    </w:p>
    <w:p>
      <w:r>
        <w:t>FR: TF 2C_713/2016 du 25 mars 2020</w:t>
      </w:r>
    </w:p>
    <w:p>
      <w:r>
        <w:t>IT: TF 2C_713/2016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Per interpretare una norma di legge occorre riferirsi in primo luogo al suo tenore letterale (interpretazione letterale). Il Tribunale federale si fonda tuttavia sulla mera comprensione letterale del testo unicamente se la soluzione così ottenuta non presenta ambiguità ed appare materialmente corretta. Esso si discosta dal senso letterale di testo chiaro solamente qualora delle ragioni obiettive inducano a ritenere che esso non restituisce il vero significato della disposizione in esame oppure quando i risultati ottenuti non possono essere stati voluti dal legislatore ed urtano il sentimento di giustizia ed equità nonché il principio della parità di trattamento. Simili ragioni possono emergere dai lavori preparatori, dallo scopo e dal senso della disposizione legale, così come dalla sistematica della legge. Se il testo della norma non appare completamente chiaro o si presta a diverse possibili interpretazioni, la sua portata viene dunque determinata tenendo conto di tutti gli elementi da considerare, segnatamente i lavori preparatori (interpretazione storica), del suo senso, del suo scopo così come dei valori su cui poggia, segnatamente dell'interesse che si vuole proteggere (interpretazione teleologica) nonché della sua relazione con altri disposti (interpretazione sistematica). Il Tribunale federale non privilegia di principio un metodo d'interpretazione in particolare; per accedere al senso vero di una norma preferisce piuttosto ispirarsi a un pluralismo interpretativo ( DTF 144 III 29 consid. 4.4.1 pag. 34 seg.; 143 I 109 consid. 6 pag. 118; 143 II 202 consid. 8.5 pag. 215; 143 III 385 consid. 4.1 pag. 391 e rispettivi richiami).</w:t>
      </w:r>
    </w:p>
    <w:p>
      <w:r>
        <w:rPr>
          <w:b/>
        </w:rPr>
        <w:t>E. 1.6.1</w:t>
      </w:r>
    </w:p>
    <w:p>
      <w:r>
        <w:t>Per prassi costante quando, come in concreto, il controllo astratto si riferisce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1.6.2</w:t>
      </w:r>
    </w:p>
    <w:p>
      <w:r>
        <w:t>La ricorrente chiede che venga annullato anche l'art. 35 LTPub (adottato il 17 dicembre 2014 e dal Gran Consiglio ed entrato in vigore il 1° gennaio 2015 [BU 2015, 34]). Sebbene il suo contenuto sia rimasto invariato in occasione della modifica adottata il 14 dicembre 2015, ritiene che questa revisione ha conferito alla norma un significato nuovo, in quanto il principio stabilito nel dicembre 2015 non intendeva porre il nesso, a suo parere insostenibile, tra i proprietari di fondi con l'aumento dei costi del trasporto pubblico, adesso voluto dal legislatore.</w:t>
      </w:r>
    </w:p>
    <w:p>
      <w:r>
        <w:rPr>
          <w:b/>
        </w:rPr>
        <w:t>E. 1.6.3</w:t>
      </w:r>
    </w:p>
    <w:p>
      <w:r>
        <w:t>Da parte sua il Consiglio di Stato osserva che contrariamente alla tesi ricorsuale, il contestato nesso tra i costi del trasporto pubblico e i fondi con più di 50 posteggi era già noto, oltre che chiaramente espresso dall'art. 35a cpv. 1 lett. c della proposta di legge allora presentata (in virtù del quale venivano assoggettati alla tassa [esatta, giusta l'art. 35 LTPub, da chi genera importanti correnti di traffico al fine di contribuire al finanziamento dell'offerta di trasporto pubblico] i proprietari di fondi [...] sui quali vi sono posteggi per almeno cinquanta autoveicoli non destinati principalmente al servizio di abitazioni. Vedasi anche il Messaggio del Consiglio di Stato n. 6987 del 23 settembre 2014). Premesse queste considerazioni - che la ricorrente non rimette in discussione nella propria replica del 25 novembre 2016 ove si limita a rimandare a quanto addotto nel proprio gravame - ne discende che l'art. 35 LTPub, in seguito alla modifica del 14 dicembre 2015 non ha assunto né una portata né un significato differente e non può pertanto essere ora oggetto di disamina.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fondi o di insieme di fondi (segnatamente di 96 fondi, compresi i fogli di PPP e i diritti di superficie), ubicati nei Comuni che rientrano nell'imposizione e sui quali sono insediate le più svariate attività economiche nonché sono presenti più di 50 posteggi per autovetture, essa fa parte della cerchia dei soggetti giuridici qualificabili quali debitori della controversa tassa di collegamento (art. 35h combinato con l'art. 35b LTPub). Aggiunge poi che l'aggravio fiscale totale a suo carico ammonta a fr. 1'597'425.-- nonché precisa che, di fronte all'importo totale dei redditi provenienti dai medesimi pari a fr. 1'570'680.--, ciò comporta un'aliquota media pari al 101.70 %. Premesse queste considerazioni, non è quindi per nulla inverosimile che la ricorrente venga confrontata con l'applicazione della tassa ora contestata. La sua legittimazione ad agire va pertanto di principio ammessa.</w:t>
      </w:r>
    </w:p>
    <w:p>
      <w:r>
        <w:rPr>
          <w:b/>
        </w:rPr>
        <w:t>E. 1.7.3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Nella propria replica la ricorrente si rimette al giudizio del Tribunale federale sulla questione.</w:t>
      </w:r>
    </w:p>
    <w:p>
      <w:r>
        <w:rPr>
          <w:b/>
        </w:rPr>
        <w:t>E. 1.7.4</w:t>
      </w:r>
    </w:p>
    <w:p>
      <w:r>
        <w:t>Come emerge dal Messaggio del 4 novembre 2015, la modifica degli art. 11 cpv. 1 e 30 LTPub cpv. 3 e 4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la qui ricorrente. Al riguardo va pertanto negato a quest'ultima la legittimazione ad impugnarle e su questo punto il ricorso si rivela inammissibile.</w:t>
      </w:r>
    </w:p>
    <w:p>
      <w:r>
        <w:rPr>
          <w:b/>
        </w:rPr>
        <w:t>E. 2.1</w:t>
      </w:r>
    </w:p>
    <w:p>
      <w:r>
        <w:t>Presentato l'iter legislativo che ha preceduto l'adozione delle modifiche legislative oggetto di contestazione, la ricorrente, osservato che la tassa di collegamento non è più, contrariamente alla prima versione adottata nel 1994, un tributo causale bensì un'imposta destinata a coprire i bisogni finanziari dello Stato (ricorso pag. 11), spiega perché a suo avviso la tassa non adempirebbe né i requisiti dell'imposta di attribuzione dei costi (le spese del trasporto pubblico ivi connesse non potendo essere imputate alla cerchia dei contribuenti assoggettati, i quali peraltro non ne traggono vantaggio alcuno; assenza di criteri oggettivi, sostenibili e ragionevoli nel definire la cerchia dei contribuenti, cfr. ricorso pag. 12 a 17) né quelli dell'imposta di orientamento (mancanza di un reale effetto incitativo; diretta contro i proprietari di fondi e non contro chi [gli utenti] si intende orientare; impossibilità di optare per un comportamento conforme allo scopo e agli obiettivi della legge, vista la qualità scarsa e insufficiente dei trasporti pubblici, considerazione quest'ultima applicabile anche ai visitatori e ai clienti dei centri commerciali e dei negozi, cfr. ricorso pag. 17 a 23).</w:t>
      </w:r>
    </w:p>
    <w:p>
      <w:r>
        <w:rPr>
          <w:b/>
        </w:rPr>
        <w:t>E. 2.2</w:t>
      </w:r>
    </w:p>
    <w:p>
      <w:r>
        <w:t>Esposti brevemente i motivi che hanno portato, tra l'altro, all'adozione della tassa di collegamento, ossia la volontà di conferire,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3.4.3</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6.6 di seguito).</w:t>
      </w:r>
    </w:p>
    <w:p>
      <w:r>
        <w:rPr>
          <w:b/>
        </w:rPr>
        <w:t>E. 3.5</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posto di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w:t>
      </w:r>
    </w:p>
    <w:p>
      <w:r>
        <w:t>La ricorrente fa valere la disattenzione dei principi della generalità e dell'uniformità dell'imposizione come pure dell'imposizione secondo la capacità economica ( art. 127 cpv. 2 Cost. ) nonché di vari diritti e principi costituzionali, cioè l'uguaglianza giuridica ( art. 8 Cost. ), il divieto dell'arbitrio ( art. 9 Cost. ), la parità di trattamento tra concorrenti diretti ( art. 27 Cost. ), la garanzia della proprietà privata ( art. 26 e 36 Cost. ) e la libertà economica ( art. 27, 36 e 94 Cost. ). Occorre quindi esaminare se l'attuazione della tassa di collegamento è avvenuta rispettando i medesimi.</w:t>
      </w:r>
    </w:p>
    <w:p>
      <w:r>
        <w:rPr>
          <w:b/>
        </w:rPr>
        <w:t>E. 5.1</w:t>
      </w:r>
    </w:p>
    <w:p>
      <w:r>
        <w:t>La ricorrente censura la violazione, sotto più aspetti, del principio della legalità. Lamentando l'assenza di una sufficiente densità normativa (non essendo, secondo lei, adempiute le esigenze di chiarezza, precisione, trasparenza e prevedibilità della normativa) e messa in avanti la grande confusione generata dal testo della legge (la questione dell'imponibilità dei parcheggi sfitti, ad esempio, avendo dovuto essere chiarita mediante la promulgazione da parte dello Stato di una direttiva), sostiene in primo luogo che le nozioni di "connessione spaziale" e "connessione funzionale", di cui agli art. 35b e 35c LTPub, non permettono di comprendere i contorni del prelievo e non ne prevedono limiti. Puntualizza che la definizione corrispondente, contenuta all'art. 5 RTColl, oltre ad essere anche lei poco chiara, oltrepassa la delega legislativa conferita al Consiglio di Stato e che nemmeno la direttiva di chiarimento citata in precedenza permette di capirne il senso. Intravede in seguito un altro difetto di base legale riguardo all'imposizione dei beneficiari di diritti di superficie a cui accenna il Messaggio del 4 novembre 2015 (pag. 30) nonché la direttiva, allorché la legge e il regolamento parlano unicamente dei proprietari dei fondi. Rileva poi che la nozione di "utenti che si spostano in modo sistematico" di cui all'art. 35e LTPub manca della necessaria chiarezza e che la delega legislativa contenuta all'art. 35d LTPub (concretizzata agli art. 4 e 6 RTColl) concernente le esenzioni è illegale, poiché la clausola di delegazione non contiene gli elementi essenziali né una precisa delimitazione della portata e dello scopo.</w:t>
      </w:r>
    </w:p>
    <w:p>
      <w:r>
        <w:rPr>
          <w:b/>
        </w:rPr>
        <w:t>E. 5.2</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di delegazione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 DTF 143 I 220 consid. 5.1.1 pag. 224; 143 I 227 consid. 4.2 pag. 232 seg.; 136 I 142 consid. 3.1 pag. 144; sentenza 2C_446/2019 del 20 settembre 2019 consid. 2.1.1). L'esigenza della densità normativa non è tuttavia assoluta, siccome non si può pretendere dal legislatore che rinunci totalmente ad utilizzare delle nozioni generali, le quali presuppongono necessariamente una parte d'interpretazione. Ciò attiene alla natura generale ed astratta inerente ad ogni norma di diritto e alla necessità che ne scaturisce di lasciare alle autorità di applicazione un certo margine di manovra all'atto di concretizzazione della norma. Per determinare il grado di precisazione che può essere preteso da una legge si deve tener conto della cerchia dei suoi destinatari e della gravità delle lesioni ai diritti fondamentali che ne discende (sentenza 2C_772/2017 del 13 maggio 2019 consid. 3.2.1 e numerosi riferimenti).</w:t>
      </w:r>
    </w:p>
    <w:p>
      <w:r>
        <w:rPr>
          <w:b/>
        </w:rPr>
        <w:t>E. 5.3</w:t>
      </w:r>
    </w:p>
    <w:p>
      <w:r>
        <w:t>Rilevato che la legge stabilisce segnatamente la cerchia dei contribuenti (art. 35b e 35c LTPub), le esenzioni (art. 35d LTPub) e i criteri per determinare l'ammontare della tassa e il suo calcolo (art. 35e e 35f LTPub) e che, quindi, il principio della legalità di cui all' art. 127 cpv. 1 Cost. è perfettamente rispettato, il Consiglio di Stato puntualizza in primo luogo che, contrariamente alle asserzioni della ricorrente, la legge non lascia intendere che verrebbero tassati anche i parcheggi sfitti, risultando chiaramente dall'art. 35e cpv. 5 LTPub che la tassa è dovuta per i posteggi</w:t>
      </w:r>
    </w:p>
    <w:p>
      <w:r>
        <w:t>in effettivo esercizio . Con riferimento alle nozioni di "connessione spaziale" e "connessione funzionale" (art. 35b cpv. 2 e 35c LTPub) esso osserva che le stesse, correttamente precisate all'art. 5 RTColl, mirano ad evitare che impianti unitari (connessione spaziale) o distinti, ma chiaramente destinati al servizio di una medesima costruzione (connessione funzionale), possano evitare l'imposizione per il solo fatto di essere posti su fondi diversi o di essere intestati a proprietari differenti. Aggiunge poi che la molteplicità e la complessità delle fattispecie da regolare impediscono inevitabilmente di adottare una norma assolutamente precisa. Premesse queste considerazioni, ne discende che la chiarificazione delle nozioni in esame di cui all'art. 5 RTColl, che corrisponde peraltro a quanto figurante nel Messaggio del 4 novembre 2015 pag. 29, è sufficientemente precisa e non eccede manifestamente il margine di apprezzamento di cui beneficia il Consiglio di Stato nell'elaborazione del regolamento di applicazione. La censura, infondata, va respinta.</w:t>
      </w:r>
    </w:p>
    <w:p>
      <w:r>
        <w:t>In quanto poi la ricorrente afferma che l'art. 5 RTColl viola il principio della separazione dei poteri, la censura non meglio sostanziata, disattende le esigenze di motivazione poste dall' art. 42 cpv. 2 LTF in relazione con l' art. 106 cpv. 2 LTF ed è pertanto inammissibile.</w:t>
      </w:r>
    </w:p>
    <w:p>
      <w:r>
        <w:t>Il Consiglio di Stato precisa poi che, contrariamente a quanto addotto dalla ricorrente, non vanno assoggettati i beneficiari di diritti di superficie, mentre sono i diritti di superficie per se stanti e permanenti intavolati a registro fondiario come fondi ad essere inclusi nella nozione di fondi figurante nella legge (art. 35b cpv. 2 LTPub), gli altri diritti di superficie essendo esplicitamente esclusi. Ora, considerate la natura e la portata dei diritti di superficie per se stanti e permanenti intavolati a registro fondiario come fondi (al riguardo vedasi DTF 141 II 326 consid. 6.1 pag. 332 seg.) ne discende che il fatto di equipararli a dei fondi e, di riflesso, di assoggettarne i beneficiari come i proprietari di fondi non elargisce la cerchia dei contribuenti di cui all'art. 35b cpv. 2 LTPub. Anche su questo punto il ricorso, infondato, va respinto.</w:t>
      </w:r>
    </w:p>
    <w:p>
      <w:r>
        <w:t>Per quanto riguarda poi la locuzione di</w:t>
      </w:r>
    </w:p>
    <w:p>
      <w:r>
        <w:t>"utenti che si spostano in modo sistematico" , il Consiglio di Stato osserva che si tratta di una definizione tecnica usuale nel campo della mobilità, che indica peraltro praticamente i pendolari (lavoratori) e gli studenti. Considerate queste spiegazioni anche su questo punto la legge non disattende le esigenze di chiarezza e di precisione esatte dalla prassi; anche al riguardo il gravame, infondato, dev'essere respinto.</w:t>
      </w:r>
    </w:p>
    <w:p>
      <w:r>
        <w:t>Infine, per quanto concerne i posteggi esentati, va osservato che contrariamente all'assunto della ricorrente la norma di delegazione (art. 35d LTPub in relazione con gli art. 4 e 6 RTColl) è sufficientemente precisa, essendosi limitato il Consiglio di Stato a dettagliare la legge senza estenderne o restringerne il contenuto. Come risulta infatti dalle osservazioni formulate dal Consiglio di Stato in una vertenze parallela (sentenza 2C_751/2016 decisa in data odierna, consid. 5.2), tutte queste categorie di posteggi sono esentate perché il loro apporto alla situazione di saturazione nei punti sensibili della rete viaria nelle ore di punta appare marginale rispettivamente perché svolgono una funzione strategica per la gestione della mobilità o perché sono direttamente al servizio di forme di mobilità volte alla riduzione del traffico veicolare. Vi è quindi coerenza ed unità nelle tipologie esentate e la norma di delegazione risulta sufficientemente precisa. Anche su questo punto il ricorso, infondato, va respinto.</w:t>
      </w:r>
    </w:p>
    <w:p>
      <w:r>
        <w:rPr>
          <w:b/>
        </w:rPr>
        <w:t>E. 6.1</w:t>
      </w:r>
    </w:p>
    <w:p>
      <w:r>
        <w:t>La ricorrente lamenta in seguito la disattenzione del principio della parità di trattamento ( art. 8 Cost. ), del divieto dell'arbitrio ( art. 9 Cost. ), nonché dei principi della generalità e dell'uniformità dell'imposizione come pure dell'imposizione secondo la capacità economica ( art. 127 cpv. 2 Cost. ).</w:t>
      </w:r>
    </w:p>
    <w:p>
      <w:r>
        <w:rPr>
          <w:b/>
        </w:rPr>
        <w:t>E. 6.1.1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 art. 8 Cost. )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6.1.2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6.1.3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6.1.4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6.1.5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6.2.1</w:t>
      </w:r>
    </w:p>
    <w:p>
      <w:r>
        <w:t>La ricorrente critica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pubblicata tra l'altro dal Cantone sul suo sito internet, ove i Comuni interessati sono evidenziati, la ricorrente afferma che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per il Comune di Mendrisio, ove il quartiere di Arzo è escluso. Oppure per attività economiche insediate ad Arbedo-Castione che sono assoggettate, mentre quelle site sul territorio di Lumino, a pochi metri di distanza, non lo sono. Oppure per la sponda sinistra del Val Riviera (con Gnosca, Preonzo, Lodrino, ecc.), non assoggettata, rispetto alla sponda opposta (con Claro, Osogna, Cresciano, ecc.) che invece lo è. Instaurare una differenziazione unicamente in base all'ubicazione territoriale, delimitata però senza alcuna motivazione plausibile, rispettivamente in virtù di una distinzione regionale che si fonda sulla saturazione della rete stradale e/o l'offerta di trasporto pubblico è discriminatorio, poiché non si basa su criteri ragionevolmente sostenibili.</w:t>
      </w:r>
    </w:p>
    <w:p>
      <w:r>
        <w:rPr>
          <w:b/>
        </w:rPr>
        <w:t>E. 6.2.2</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rPr>
          <w:b/>
        </w:rPr>
        <w:t>E. 6.2.3</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 art. 11 cpv. 3 e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6.3.1</w:t>
      </w:r>
    </w:p>
    <w:p>
      <w:r>
        <w:t>La ricorrente intravede in seguito una disattenzione del principio della parità di trattamento nel fatto che vengono esentati i posti auto destinati esclusivamente al servizio di abitazioni (art. 35b cpv. 2 in fine LTPub), allorché lo spostamento casa-lavoro o casa-scuola è indiscutibilmente causa di traffico, già per la quantità di cittadini interessati, ben superiore al numero di coloro che s'intende ora tassare. La censura, non meglio sostanziata, non adempie le esigenze di motivazione poste dai combinati art. 42 cpv. 2 e 106 cpv. 2 LTF e sfugge pertanto ad un esame di merito.</w:t>
      </w:r>
    </w:p>
    <w:p>
      <w:r>
        <w:rPr>
          <w:b/>
        </w:rPr>
        <w:t>E. 6.3.2</w:t>
      </w:r>
    </w:p>
    <w:p>
      <w:r>
        <w:t>Ma quand'anche si volesse da ciò prescindere la stessa andrebbe comunque respinta. Come spiegato dal Consiglio di Stato nella propria risposta (pag. 27 punto b) cc), i posteggi al servizio dell'abitazione (art. 35b cpv. 2 in fine LTPub)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fondata su criteri sostenibili. Non vi è pertanto disparità di trattamento.</w:t>
      </w:r>
    </w:p>
    <w:p>
      <w:r>
        <w:rPr>
          <w:b/>
        </w:rPr>
        <w:t>E. 6.4.1</w:t>
      </w:r>
    </w:p>
    <w:p>
      <w:r>
        <w:t>La ricorrente intravede un'ulteriore discriminazione (verticale) rispetto a chi possiede un numero inferiore a 50 posteggi ed è esentato. Osservato che sulle 222 aziende sue locatarie soltanto alcune hanno più di 50 posteggi, ne deduce che le altre, tenute a pagare importi considerevoli (a suo avviso fr. 1'000.-- annui per posteggio) malgrado il fatto che individualmente locano pochi stalli, sceglieranno di trasferirsi in stabili con meno di 50 posteggi, dove non dovranno pagare nulla. Secondo l'interessata è inoltre ravvisabile una misura di politica economica, atta ad interferire nella libera concorrenza, siccome essa verrà penalizzata e svantaggiata dal tributo contestato. Allo stesso modo considera che l'assenza di una franchigia lede altresì la parità di trattamento, siccome chi possiede 49 posteggi nulla paga, mentre chi ne ha 50 potrebbe dovere pagare imposte ammontanti fino a fr. 53'550.-- annui.</w:t>
      </w:r>
    </w:p>
    <w:p>
      <w:r>
        <w:rPr>
          <w:b/>
        </w:rPr>
        <w:t>E. 6.4.2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6.4.3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risposta del 4 ottobre 2016 pag. 42), grava solo una minoranza di proprietari fondiari,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dispongono di centinaia o migliaia di posteggi e per i quali l'onere contributivo risulta rilevante. Ad esempio chi dispone di 150 posti auto (e non può quindi beneficiare delle riduzioni previste dalla legge) dovrà pagare un importo pari a circa fr. 131'250.-- annui (fr. 3.50 x 250 giorni x 150 posteggi). Per quanto concerne la ricorrente va osservato che l'ammontare annuo che dovrà versare ammonta a fr. 1'597'425.--. Senza dimenticare che appare complicato se non impossibile in simili casi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trascurare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6.5</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scelte dal Governo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6.6</w:t>
      </w:r>
    </w:p>
    <w:p>
      <w:r>
        <w:t>La legge, al suo articolo 35t, prevede, come già accennato (consid. 3.4.3)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7</w:t>
      </w:r>
    </w:p>
    <w:p>
      <w:r>
        <w:t>Secondo la ricorrente, che richiama la direttiva emessa dal Consiglio di Stato, un'ulteriore palese discriminazione emerge dal fatto che colui che sul proprio fondo detiene 60 parcheggi, pure rendendone 20 inservibili, si trova comunque a dovere pagare per i rimanenti 40 utilizzati, ciò che è scioccante e arbitrario rispetto al proprietario che non paga niente. Ancora più scioccante è il caso ove un proprietario possiede 50 posteggi, ne rende uno inservibile tramite un ostacolo fisico, ma paga comunque per i 49 posteggi rimanenti.</w:t>
      </w:r>
    </w:p>
    <w:p>
      <w:r>
        <w:t>Nella propria risposta del 4 ottobre 2016 (pag. 47) il Consiglio di Stato spiega che la legge prevede due distinte situazioni, la collocazione fuori servizio dei posteggi e la loro dismissione (cfr. art. 35f LTPub). Nel primo caso viene solo inibito l'uso del posteggio (e il proprietario può quindi decidere, in ogni momento, di riutilizzarlo), che non viene conteggiato ai fini del calcolo dell'imposta, ma viene considerato ai fini dell'assoggettamento, senza possibili bonus. Nel secondo caso, vi è una rinuncia definitiva alla licenza edilizia e il posteggio non è conteggiato né ai fini dell'assoggettamento né per il calcolo dell'imposta ed entrano in considerazione dei bonus. La diversità di trattamento si giustifica dall'importante differenza fra le fattispecie: nella prima i posteggi non vengono (temporaneamente) usati, ma sono giuridicamente mantenuti; nella seconda i posteggi dismessi non esistono più. Viste queste spiegazioni non si è confrontati con un'insostenibile discriminazione, il proprietario avendo la libera scelta tra dismissione e collocazione fuori esercizio. La censura, infondata, va respinta.</w:t>
      </w:r>
    </w:p>
    <w:p>
      <w:r>
        <w:rPr>
          <w:b/>
        </w:rPr>
        <w:t>E. 8</w:t>
      </w:r>
    </w:p>
    <w:p>
      <w:r>
        <w:t>La ricorrente considera che per le imposte di attribuzione dei costi, la capacità contributiva deve essere determinata non in funzione dell'insieme dei redditi o della sostanza del contribuente, ma sulla proporzione tra il reddito ottenuto dalla locazione dei posteggi e il valore di costruzione dei medesimi e l'importo riscosso dallo Stato. Considerati il canone di locazione per un singolo stallo (dai fr. 65.-- ai fr. 85.-- mensili, quando non è incluso nella pigione complessiva), l'aliquota che si aggira (per lei) al 101 % (con quindi un carattere chiaramente confiscatorio ed espropriativo), i costi di costruzione che oscillano tra fr. 20'000.-- a fr. 30'000.-- per un posteggio esterno e fr. 40'000.-- a fr. 50'000.-- per uno stallo interno e, infine, che l'incasso del posteggio costituisce un fattore importante nel calcolo della redditività di imprese come la sua, ne deduce una palese violazione del principio dell'imposizione secondo la capacità contributiva. Sennonché, come illustrato in precedenza, la tassa di collegamento non è un'imposta di attribuzione dei costi (cfr. consid. 3.5). L'argomentazione si rivela pertanto priva di pertinenza.</w:t>
      </w:r>
    </w:p>
    <w:p>
      <w:r>
        <w:rPr>
          <w:b/>
        </w:rPr>
        <w:t>E. 9.1</w:t>
      </w:r>
    </w:p>
    <w:p>
      <w:r>
        <w:t>La ricorrente fa valere in seguito la violazione della garanzia della proprietà e della libertà economica. Afferma che il suo reddito è espropriato e nemmeno sufficiente a coprire il costo della tassa, così come non può essere ammortizzato l'investimento legato alla costruzione dei parcheggi. La sua capacità contributiva viene quindi annientata, oltre al fatto che deve attingere ad altri redditi e/o patrimoni per pagare l'imposta. La tassa risulta anche punitiva se si considera che in virtù del diritto previgente erano imposti un minimo di posteggi, senza dimenticare che la scheda R8 del Piano Direttore 2009 impone di concentrare i grandi generatori di traffico in comparti idonei, ciò che permette di limitare il numero di spostamenti e quindi di ridurre il carico ambientale complessivo.</w:t>
      </w:r>
    </w:p>
    <w:p>
      <w:r>
        <w:rPr>
          <w:b/>
        </w:rPr>
        <w:t>E. 9.2.1</w:t>
      </w:r>
    </w:p>
    <w:p>
      <w:r>
        <w:t>Per quanto concerne più specificatamente la garanzia della proprietà, la ricorrente sostiene che difetta, per le ragioni già fatte valere in precedenza, di una valida base legale e che la tassa è sproporzionata, non necessaria, di natura confiscatoria ed espropriativa nella misura in cui priva di ogni sostanza il reddito ricavato dai posteggi (l'aliquota dell'imposta superando il medesimo), oltre a non permetterle di ammortizzare quanto investito nella costruzione dei posteggi. Laddove il canone di locazione è di fr. 65.-- mensili, ossia fr. 2.15 al giorno, la tassa potrebbe essere pari a fr. 3.50, corrispondenti a ben il 165,8 %, a cui va aggiunto il prelievo dell'8 % dell'IVA. Per quanto concerne poi il fatto di ribaltare la tassa sugli inquilini, la ricorrente osserva che i canoni saranno troppo elevati, con conseguente disdetta dei contratti e posteggi non affittati poiché troppo costosi, che essa sarà impossibilitata a ricuperare i costi di costruzione, ciò che costituisce un chiaro svantaggio rispetto a concorrenti non assoggettati senza, infine, dimenticare tutti gli altri tributi che la gravano. È quindi chiaramente leso il principio della proporzionalità, il quale è rispettato soltanto se viene garantito un rendimento economico accettabile e se le spese da assumere sono ragionevoli.</w:t>
      </w:r>
    </w:p>
    <w:p>
      <w:r>
        <w:rPr>
          <w:b/>
        </w:rPr>
        <w:t>E. 9.2.2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9.2.3</w:t>
      </w:r>
    </w:p>
    <w:p>
      <w:r>
        <w:t>Per quanto viene censurato un difetto di base legale, si rinvia a quanto esposto al riguardo in precedenza (cfr. consid. 5). Con riferimento alla pretesa sproporzione del tributo, va osservato che nel caso specifico gli elementi e i dati forniti dalla ricorrente non sono idonei a provare che l'imposta querelata la priverebbe di una parte esorbitante della propria sostanza o di singoli componenti della stessa. Pretendere che la tassa di collegamento, di per sé o cumulata ad altri tributi, dà luogo ad un carico fiscale esoso, senza dimostrare che l'essenza stessa della proprietà privata è intaccata, non è sufficiente per riconoscere il carattere confiscatorio dell'imposizione, tanto meno se si considera che vi è, come nel caso concreto, la possibilità di trasferire l'onere contributivo sugli utenti diretti dei parcheggi. Si può inoltre aggiungere che, come rileva il Consiglio di Stato (risposta del 4 ottobre 2016 pag. 33), i posteggi privati per veicoli non sono autonomi (salvo gli autosili o le aree di sosta aperte al pubblico dietro pagamento, impianti di principio esentati [art. 35d LTPub e 6 RTColl]), ma sono delle opere accessorie, cioè delle infrastrutture funzionalmente subordinate ad una costruzione principale, di cui condividono la destinazione. I posteggi annessi agli stabilimenti commerciali sono quindi impianti a vocazione commerciale mentre quelli delle fabbriche sono componenti accessorie di impianti industriali. Ora, il beneficio economico di un posteggio non si riduce al reddito che viene direttamente tratto dalla sua eventuale locazione (potendo infatti essere messo gratuitamente a disposizione di dipendenti o di clienti). Per fissarne il valore economico, si deve tener conto della funzione che esso riveste al servizio della costruzione principale e, per stabilirne il reddito, vanno considerati gli utili generati dall'attività insediata nella costruzione principale. In altre parole, il reddito conseguito dal proprietario deriva in maniera preponderante dall'uso o dalla locazione dell'edifico principale, reddito al quale può essere aggiunto, eventualmente, quanto ricavato dalla locazione dei posteggi, ciò che rappresenta tuttavia solo una piccola frazione del reddito complessivo. Viste queste considerazioni, la censura si appalesa infondata e, come tale va respinta.</w:t>
      </w:r>
    </w:p>
    <w:p>
      <w:r>
        <w:rPr>
          <w:b/>
        </w:rPr>
        <w:t>E. 9.2.4</w:t>
      </w:r>
    </w:p>
    <w:p>
      <w:r>
        <w:t>La ricorrente fa valere che in applicazione delle norme comunali di attuazione del Piano Regolatore (NAPR) i Comuni prelevano un contributo sostitutivo (assai consistente, pari al 25 % del costo di costruzione di un parcheggio) quando i proprietari che edificano i loro fondi non realizzano la quantità minima di posteggi stabilita da dette norme. Ciò implica tuttavia arbitrio perché chi è assoggettato alla tassa di collegamento (siccome possiede 50 posteggi e più) non può ridurre il numero dei suoi parcheggi, ciò che è invece espressamente permesso dall'art. 35f LTPub, se non previo pagamento di un ulteriore aggravio finanziario (ossia il contributo sostitutivo).</w:t>
      </w:r>
    </w:p>
    <w:p>
      <w:r>
        <w:t>Da parte sua il Consiglio di Stato rileva in primo luogo che il numero dei posteggi necessari da realizzare sui fondi privati (eccettuati quelli al servizio dell'abitazione) viene determinato dal Regolamento cantonale posteggi privati (vedasi art. 42 e 43 LST nonché art. 51 a 62 RLst), il quale ha abrogato e rese inapplicabili tutte le norme comunali di attuazione del Piano Regolatore (NAPR) relative alla quantificazione del numero di detti posteggi, salvo eventuali disposizioni più restrittive (art. 43 cpv. 2 LST). Rammentato che l'applicazione del Regolamento cantonale posteggi privati compete alla Sezione della mobilità (art. 3 RLst), il Consiglio di Stato sottolinea che i Comuni non hanno competenza in materia e non possono stabilire un fabbisogno maggiore (né esigere un contributo sostitutivo in base al medesimo) rispetto a quello definito in maniera restrittiva in applicazione di detto regolamento (art. 51 RLst), il quale determina il numero dei posteggi necessari (cioè il numero minimo di posteggi di cui occorre disporre quanto quello massimo realizzabile, cfr. art. 52 cpv. 3 RLst) riducendo il fabbisogno massimo di riferimento ( art. 53 a 56 RLst) in funzione, tra l'altro, della qualità del servizio di trasporto pubblico (art. 59 e 60 RLst; vedasi anche gli art. 60 cpv. 4, 61 e 61a RLst che permettono, a determinate condizioni, di applicare valori ancora più restrittivi). In proposito precisa che il formulario di calcolo da allegare alla domanda di costruzione (prodotto dalla ricorrente quale convalida delle proprie affermazioni) serve solo alla raccolta di dati e conferisce, al più, un'indicazione di massima, non vincolante per l'autorità chiamata a valutare la situazione e a determinare il numero di posteggi necessari, dato che non vi figurano le riduzioni di cui agli art. 60 cpv. 4, 61 e 61a RLst ancora da applicare. Il contributo sostituivo comunale può essere chiesto invece per i posteggi mancanti rispetto al numero di quelli necessari in base al Regolamento posteggi privati (riservate norme comunali ancora più restrittive, cfr. art. 43 cpv. 2 LST). Premesse queste considerazioni e rammentato che non possono essere emanate norme comunali che violano sia il senso sia lo spirito del diritto cantonale e ne pregiudicano la realizzazione, ne discende che l'arbitrio lamentato dalla ricorrente non è quindi dato.</w:t>
      </w:r>
    </w:p>
    <w:p>
      <w:r>
        <w:t>Con riferimento all'asserita contraddizione esistente tra la tassa querelata, che comporta un concreto rischio di dispersione delle attività economiche e la scheda R8, voluta per concentrare in comparti idonei i grandi generatori di traffico, il Consiglio di Stato (cfr. osservazioni del 4 ottobre 2016 pag. 50) precisa che detta scheda non osta agli obiettivi di riduzione e contenimento del traffico perseguiti mediante la tassa di collegamento. In particolare perché i citati comparti sono subordinati alla verifica della loro capacità massima di traffico (capacità della rete stradale, dell'allacciamento al trasporto pubblico e delle sue potenzialità di sviluppo, obiettivi cantonali in materia di protezione dell'ambiente, cfr. scheda R8 punto 2.4 a-g) nonché ad una strategia restrittiva di regolamentazione dei posteggi (tassazione dei medesimi e promozione di sistemi di trasporto aziendale, scheda R8 punto 2.4 i). Per quanto concerne poi il rischio di dispersione delle attività nel territorio paventato dalla ricorrente, il Consiglio di Stato osserva che la pianificazione territoriale offre gli strumenti per evitare una tale situazione (scheda R8 punto 2.6 b). Premesse queste considerazioni, anche in proposito il ricorso si rivela infondato e come tale va respinto.</w:t>
      </w:r>
    </w:p>
    <w:p>
      <w:r>
        <w:rPr>
          <w:b/>
        </w:rPr>
        <w:t>E. 9.3.1</w:t>
      </w:r>
    </w:p>
    <w:p>
      <w:r>
        <w:t>La ricorrente adduce in seguito una violazione del principio della libertà economica ( art. 27, 36 e 94 Cost. ). Ribadisce che le premesse di una base legale sufficiente e del rispetto del principio della proporzionalità non sono date per i motivi già illustrati ed afferma che la tassa querelata istituisce una misura di politica economica inammissibile, siccome è non solo proibitiva, ma addirittura punitiva, confiscatoria ed espropriativa, oltre ad impedire che venga realizzato un beneficio conveniente. Ripete che i suoi concorrenti diretti, con meno di 50 posteggi sul loro fondo oppure con più posteggi ma situati nei Comuni che non rientrano tra quelli considerati dagli art. 35b cpv. 1 LTPub e 3 RTColl sono avvantaggiati e ne deduce un'ingiustificata distorsione del libero mercato e un'inaccettabile influenza tra i diversi attori economici. Infine afferma che la possibilità, peraltro non legiferata di trasferire l'imposta sugli utenti non conduce a diversa conclusione in ragione sia degli impedimenti giuridici vigenti in ambito del diritto della locazione sia del fatto che, per quanto concerne i dipendenti, una modifica contrattuale unilaterale sarebbe di principio vietata.</w:t>
      </w:r>
    </w:p>
    <w:p>
      <w:r>
        <w:rPr>
          <w:b/>
        </w:rPr>
        <w:t>E. 9.3.2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la ricorrente non fornisce (art. 42 cpv. 2 e 106 cpv. 2 LTF) alcun elemento che dimostri che, per quanto la concerne, la tassa di collegamento è proibitiva e l'impedisce di realizzare un beneficio conveniente. Per il resto le censure sollevate si confondono con quelle formulate riguardo alla violazione del principio dell'uguaglianza di trattamento più particolarmente tra concorrenti diretti, giudicate infondate. Al riguardo si può rinviare a quanto detto in proposito (cfr. consid. 6.4.3). Anche su questo punto il ricorso si rivela privo di pertinenza e va pertanto respinto.</w:t>
      </w:r>
    </w:p>
    <w:p>
      <w:r>
        <w:rPr>
          <w:b/>
        </w:rPr>
        <w:t>E. 9.4.1</w:t>
      </w:r>
    </w:p>
    <w:p>
      <w:r>
        <w:t>In quanto la ricorrente sostiene che l'adozione dell'imposta impugnata sarebbe lesiva del divieto dell'arbitrio la censura, non meglio sostanziata (art. 42 cpv. 2 e 106 cpv. 2 LTF), risulta inammissibile.</w:t>
      </w:r>
    </w:p>
    <w:p>
      <w:r>
        <w:rPr>
          <w:b/>
        </w:rPr>
        <w:t>E. 9.4.2</w:t>
      </w:r>
    </w:p>
    <w:p>
      <w:r>
        <w:t>A parere della ricorrente la data d'entrata in vigore delle modifiche contestate, decisa dal Consiglio di Stato su delega del Gran Consiglio e fissata al 1° agosto 2016, sia per quanto concerne la legge che il nuovo regolamento, è inficiata d'arbitrio. La stessa non consente al contribuente ivi assoggettato di potere adottare tutte le misure previste dalla legge per ridurre e dismettere i posti auto rispettivamente per adottare le necessarie misure di controllo ai fini del prelievo della tassa (barriere, parchimetri, ecc.). Infine, mette in avanti le numerose difficoltà attinenti al diritto della locazione o del lavoro che le impediscono di ribaltare da subito sui locatari la tassa di collegamento (contratti di durata indeterminata che non possono essere immediatamente disdetti, procedure pendenti dinanzi alle competenti autorità in materia di locazione in seguito agli aumenti di pigione notificati, ecc.) ed afferma che il danno subito è rilevante siccome deve assumersi l'intero onere fiscale.</w:t>
      </w:r>
    </w:p>
    <w:p>
      <w:r>
        <w:t>La censura non va esaminata, poiché diventata priva d'oggetto. Anche se effettivamente il lasso di tempo inizialmente previsto tra la pubblicazione delle modifiche della LTPub e del RTColl e la loro entrata in vigore era breve, al procedimento è stato concesso l'effetto sospensivo (cfr. consid. 10.2). Ora, considerato il tempo trascorso, non può più adesso essere sostenuto che non vi sia stato tempo a sufficienza per adottare i necessari provvedimenti (dismissione e/o messa fuori esercizio dei posteggi; installazione di sistemi di controllo quali barriere, parchimetri, ecc.; risoluzione dei problemi attinenti al diritto della locazione e del lavoro). Anche su questo punto il ricorso va respinto.</w:t>
      </w:r>
    </w:p>
    <w:p>
      <w:r>
        <w:rPr>
          <w:b/>
        </w:rPr>
        <w:t>E. 10.1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10.2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6.6), l'entrata in vigore dev'essere fissata ex nunc. Il Consiglio di Stato è quindi invitato a fissare una nuova data per l'entrata in vigore delle norme contestate.</w:t>
      </w:r>
    </w:p>
    <w:p>
      <w:r>
        <w:rPr>
          <w:b/>
        </w:rPr>
        <w:t>E. 11</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