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2C_712/2018 vom 21. März 2019</w:t>
      </w:r>
    </w:p>
    <w:p>
      <w:r>
        <w:t>Bundesgericht, 2019-03-21, DE</w:t>
      </w:r>
    </w:p>
    <w:p>
      <w:r>
        <w:rPr>
          <w:b/>
        </w:rPr>
        <w:t xml:space="preserve">Quelle: </w:t>
      </w:r>
      <w:r>
        <w:t>https://mcp.opencaselaw.ch/entscheid/bger_2C_712_2018</w:t>
      </w:r>
    </w:p>
    <w:p>
      <w:r>
        <w:t>FR: TF 2C_712/2018 du 21 mars 2019</w:t>
      </w:r>
    </w:p>
    <w:p>
      <w:r>
        <w:t>IT: TF 2C_712/2018 del 21 marzo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Auf die Beschwerde in öffentlich-rechtlichen Angelegenheiten ist einzutreten. Für die gleichzeitig erhobene subsidiäre Verfassungsbeschwerde bleibt kein Raum ( Art. 113 BGG ).</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Die Verletzung von Grundrechten sowie von kantonalem und interkantonalem Recht untersucht das Bundesgericht in jedem Fall nur insoweit, als eine solche Rüge in der Beschwerde präzise vorgebracht und begründet worden ist ( Art. 106 Abs. 2 BGG ; BGE 142 II 369 E. 2.1 S. 372).</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140 III 16 E. 1.3.1 S. 17 f.).</w:t>
      </w:r>
    </w:p>
    <w:p>
      <w:r>
        <w:rPr>
          <w:b/>
        </w:rPr>
        <w:t>E. 1.4</w:t>
      </w:r>
    </w:p>
    <w:p>
      <w:r>
        <w:t>Die Beschwerdeführenden beantragen die Feststellung, dass D.________ altersbedingt nicht mehr der obligatorischen Schulzeit im Kanton St. Gallen unterliege und der Entscheid des Verwaltungsgerichts bezüglich seiner Person gegenstandslos geworden sei. Gemäss Art. 45 i.V.m. Art. 48 Abs. 1 und Art. 2 Abs. 1-4 des Volksschulgesetzes des Kantons St. Gallen vom 13. Januar 1983 (sGS 213.1) werden Kinder am 1. August nach Vollendung des vierten Altersjahrs schulpflichtig und die Schulpflicht dauert bis zum Abschluss der dritten Oberstufenklasse, welcher in der Regel nach elf vollendeten Schuljahren erfolgt. Nachdem D.________ demnächst siebzehn Jahre alt wird und offenbar eine Berufsausbildung begonnen hat, ist die Frage nach der Schulpflicht im Kanton St. Gallen nicht mehr von aktuellem Interesse. Das Verfahren wird diesbezüglich gegenstandslos, so dass insoweit auf die Beschwerde nicht einzutreten ist. Soweit die Auferlegung einer Busse angefochten wird, tritt in Bezug auf D.________ indes keine Gegenstandslosigkeit ein.</w:t>
      </w:r>
    </w:p>
    <w:p>
      <w:r>
        <w:rPr>
          <w:b/>
        </w:rPr>
        <w:t>E. 2</w:t>
      </w:r>
    </w:p>
    <w:p>
      <w:r>
        <w:t>Die Beschwerdeführenden rügen über weite Strecken eine unrichtige Feststellung des Sachverhalts hinsichtlich des Wohnsitzes bzw. Aufenthaltsorts und Lebensmittelpunkts der Tochter. Sie monieren eine Verletzung von Art. 23 ff. ZGB , beziehen sich in ihrer Argumentation jedoch ausschliesslich auf den festgestellten Sachverhalt. Dabei legen sie nicht dar, inwiefern die vorinstanzliche Sachverhaltsfeststellung willkürlich oder offensichtlich unrichtig sein soll. Auf die entsprechenden Ausführungen, die den Anforderungen an eine Sachverhaltsrüge nicht genügen, ist nicht weiter einzugehen (vgl. E. 1.3 hiervor). Soweit sie in diesem Zusammenhang auf eine überspitzt formalistische Beweiswürdigung verweisen, fehlt ebenfalls eine hinreichende Begründung, sodass auch hierauf nicht weiter einzugehen ist (vgl. E. 1.2 hiervor).</w:t>
      </w:r>
    </w:p>
    <w:p>
      <w:r>
        <w:rPr>
          <w:b/>
        </w:rPr>
        <w:t>E. 3</w:t>
      </w:r>
    </w:p>
    <w:p>
      <w:r>
        <w:t>Weiter machen die Beschwerdeführenden geltend, die Verfügung des Schulrats vom 21. September 2015 sei B.________ nicht ordentlich zugestellt worden. Sie habe zwar durch ihren Ehemann von der Verfügung Kenntnis erhalten und ein Rechtsmittel ergreifen können. Die Zustellung an ihre vormalige Adresse in der Schweiz führe jedoch angesichts des Umstands, dass sie in Spanien Wohnsitz genommen habe, zur Nichtigkeit der Verfügung.</w:t>
      </w:r>
    </w:p>
    <w:p>
      <w:r>
        <w:rPr>
          <w:b/>
        </w:rPr>
        <w:t>E. 3.1</w:t>
      </w:r>
    </w:p>
    <w:p>
      <w:r>
        <w:t>Aus dem Prinzip von Treu und Glauben nach Art. 5 Abs. 3 und Art. 9 BV folgt der Grundsatz, dass den Rechtsuchenden aus einer mangelhaften Eröffnung kein Nachteil erwachsen darf. Vertrauensschutz verdienen dabei nur Rechtsuchende, die den Mangel nicht erkannten oder bei gebührender Aufmerksamkeit hätten erkennen können ( BGE 139 IV 228 E. 1.3 S. 231 f. ; 138 I 49 E. 8.3.2 S. 53 f.; Urteil 2C_309/2018 vom 10. September 2018 E. 4.1). Nichtigkeit im Sinne einer absoluten Unwirksamkeit der Verfügung wird hingegen nur in Ausnahmefällen angenommen, wenn der ihr anhaftende Mangel besonders schwer wiegt, wenn er offensichtlich oder zumindest leicht erkennbar ist und wenn zudem die Rechtssicherheit durch die Annahme der Nichtigkeit nicht ernsthaft gefährdet wird; fehlt einer Verfügung jegliche Rechtsverbindlichkeit in diesem Sinne, ist dies durch jede Behörde, die mit der Sache befasst ist, jederzeit und von Amtes wegen zu beachten ( BGE 139 II 243 E. 11.2 S. 260; Urteile 2C_827/2015 vom 3. Juni 2016 E. 3.3, nicht publ. in: BGE 142 II 411 ; 2C_1044/2016 vom 6. August 2018 E. 3.1).</w:t>
      </w:r>
    </w:p>
    <w:p>
      <w:r>
        <w:t>Gemäss der bundesgerichtlichen Praxis erlangt ein Urteil oder eine Verfügung erst mit der Mitteilung an die Parteien rechtliche Existenz. Vor seiner Mitteilung ist es ein Nichturteil, was von Amtes wegen zu berücksichtigen ist ( BGE 142 II 411 E. 4.2 S. 413 ; 122 I 97 E. 3a/bb S. 99). Dementsprechend vermögen Urteile oder Verfügungen, die den Parteien nie mitgeteilt worden sind, keinerlei Rechtswirksamkeit zu entfalten ( BGE 142 II 411 E. 4.2 S. 413; 136 V 295 E. 5.3 S. 306; 124 V 47 3a S. 50; Urteile 2C_478/2017 vom 9. April 2018 E. 5.1; 2C_734/2017 vom 7. März 2018 E. 3.2; 2C_408/2016 und 2C_409/2016 vom 19. Juni 2017 E. 2.1; YVES DONZALLAZ, La notification en droit interne suisse, 2002, N. 25, 141 und 1115).</w:t>
      </w:r>
    </w:p>
    <w:p>
      <w:r>
        <w:rPr>
          <w:b/>
        </w:rPr>
        <w:t>E. 3.2</w:t>
      </w:r>
    </w:p>
    <w:p>
      <w:r>
        <w:t>Solange sie minderjährig sind, stehen die Kinder grundsätzlich unter der gemeinsamen elterlichen Sorge von Vater und Mutter ( Art. 296 Abs. 2 ZGB ). Die Eltern vertreten die Kinder von Gesetzes wegen gegenüber Drittpersonen im Umfang der ihnen zustehenden elterlichen Sorge ( Art. 304 Abs. 1 ZGB ). Sind wie vorliegend beide Eltern Inhaber der elterlichen Sorge, so dürfen gutgläubige Drittpersonen voraussetzen, dass jeder Elternteil im Einvernehmen mit dem andern handelt ( Art. 304 Abs. 2 ZGB ). Die verheirateten Eltern vertreten sich gegenseitig ( Art. 166 Abs. 1 ZGB ).</w:t>
      </w:r>
    </w:p>
    <w:p>
      <w:r>
        <w:t>Vorliegend sind beide Elternteile Verfahrensbeteiligte. Art. 10bis und Art. 26 Abs. 1 des Gesetzes des Kantons St. Gallen über die Verwaltungsrechtspflege vom 16. Mai 1965 (VRG/SG; sGS 951.1) sieht vor, dass Verfahrensbeteiligte mit Wohnsitz in Ausland eine Zustelladresse in der Schweiz oder einen Vertreter mit Wohn- oder Geschäftssitz in der Schweiz zu bezeichnen haben, ansonsten Mitteilungen im öffentlichen Publikationsorgan eröffnet werden. Wenn Streitgenossen oder andere Mitbeteiligte keine gemeinsame Zustelladresse bezeichnen, kann die Behörde gemäss Art. 8 Abs. 2 VRG/SG die Zustellung an einen Beteiligten zuhanden der übrigen oder auf Begehren Einzelzustellung verfügen.</w:t>
      </w:r>
    </w:p>
    <w:p>
      <w:r>
        <w:rPr>
          <w:b/>
        </w:rPr>
        <w:t>E. 3.3</w:t>
      </w:r>
    </w:p>
    <w:p>
      <w:r>
        <w:t>Die Beschwerdeführenden sind verheiratet und leben gemäss eigenen Angaben trotz der zeitweisen örtlichen Trennung, die sie als arbeitsbedingt bezeichnen, nach wie vor in ehelicher Gemeinschaft. Es ist daher nicht zu beanstanden, dass die Verfügung vom 21. September 2015 an den Ehemann als Vertreter der Eltern eröffnet wurde. Im Übrigen wird in der Beschwerde nicht bestritten, dass beide Beschwerdeführenden von der Verfügung des Schulrats rechtzeitig Kenntnis erhielten und in der Folge fristgerecht Beschwerde erhoben. Der geltend gemachte Eröffnungsmangel erfüllt die in E. 3.1 genannten Voraussetzungen für die Annahme der Nichtigkeit der Verfügung wegen mangelhafter Zustellung nicht. Zudem ist unbestritten, dass den Beschwerdeführenden daraus auch kein Nachteil erwachsen ist, sodass sie sich nicht in guten Treuen auf den angeblichen Mangel berufen können.</w:t>
      </w:r>
    </w:p>
    <w:p>
      <w:r>
        <w:rPr>
          <w:b/>
        </w:rPr>
        <w:t>E. 4</w:t>
      </w:r>
    </w:p>
    <w:p>
      <w:r>
        <w:t>Die Beschwerdeführenden rügen, die mit Verfügung vom 21. September 2015 verhängte Busse von Fr. 1'000.- pro Kind sei gegenüber den Kindern ausgesprochen worden, was unzulässig sei. Es verstosse gegen Art. 9 und Art. 29 BV , wenn die Vorinstanz behaupte, diese Bussen würden den Vater betreffen.</w:t>
      </w:r>
    </w:p>
    <w:p>
      <w:r>
        <w:t>Zunächst ist daran zu erinnern, dass die Verfügung vom 21. September 2015 hinsichtlich der Busse von Fr. 1'000.- pro Kind mit Entscheid des Erziehungsrats vom 20. April 2016 abgeändert und die Busse auf insgesamt Fr. 1'000.- reduziert worden ist. Entgegen der Auffassung in der Beschwerde ergibt sich sodann weder aus der erstinstanzlichen Verfügung noch aus dem Entscheid des Erziehungsrats, dass der Bussenbetrag den Kindern hätte auferlegt werden sollen. Der Umstand, dass die Busse zunächst mit Fr. 1'000.- pro Kind beziffert wurde, vermag daran nichts zu ändern: die Kinder der Beschwerdeführenden waren nicht Adressaten der Verfügung und es wurde ihnen auch niemals ein pflichtwidriges Verhalten vorgeworfen. Vielmehr richtete sich die Verfügung ebenso wie der Vorwurf der Pflichtverletzung explizit gegen die Eltern. Die Rüge geht somit ins Leere.</w:t>
      </w:r>
    </w:p>
    <w:p>
      <w:r>
        <w:rPr>
          <w:b/>
        </w:rPr>
        <w:t>E. 5</w:t>
      </w:r>
    </w:p>
    <w:p>
      <w:r>
        <w:t>Schliesslich rügen die Beschwerdeführenden eine Verletzung der Niederlassungsfreiheit gemäss Art. 24 BV .</w:t>
      </w:r>
    </w:p>
    <w:p>
      <w:r>
        <w:rPr>
          <w:b/>
        </w:rPr>
        <w:t>E. 5.1</w:t>
      </w:r>
    </w:p>
    <w:p>
      <w:r>
        <w:t>Gemäss Art. 24 BV haben Schweizerinnen und Schweizer das Recht, sich an jedem Ort des Landes niederzulassen (Abs. 1). Sie sind ausserdem berechtigt, die Schweiz zu verlassen oder in die Schweiz einzureisen (Abs. 2).</w:t>
      </w:r>
    </w:p>
    <w:p>
      <w:r>
        <w:rPr>
          <w:b/>
        </w:rPr>
        <w:t>E. 5.2</w:t>
      </w:r>
    </w:p>
    <w:p>
      <w:r>
        <w:t>Soweit sich die diesbezüglichen Ausführungen in der Beschwerde auf die vorinstanzliche Sachverhaltsfeststellung resp. Beweiswürdigung beziehen, ohne diese qualifiziert zu rügen, ist darauf nicht weiter einzugehen (vgl. E. 1.3 hiervor). Die ebenfalls erwähnte Verletzung des rechtlichen Gehörs wird nicht begründet und genügt den Anforderungen an die Rüge somit offensichtlich nicht: auch darauf ist nicht weiter einzugehen (vgl. E. 1.2 hiervor). Im Übrigen machen die Beschwerdeführenden nicht geltend, es sei ihnen verwehrt worden, sich im Sinne von Art. 24 BV an einem von ihnen gewählten Ort in der Schweiz niederzulassen oder die Schweiz zu verlassen bzw. wieder einzureisen. Solches ist denn auch nicht ersichtlich. Vielmehr bezweifelten die kantonalen Behörden, dass tatsächlich ein Wegzug und eine Verlegung des Lebensmittelpunktes nach Spanien erfolgte. Es gelingt den Beschwerdeführenden nicht, darzulegen, dass dadurch ihr Recht auf Niederlassungsfreiheit eingeschränkt worden sei. Es liegt keine Verletzung von Art. 24 BV vor.</w:t>
      </w:r>
    </w:p>
    <w:p>
      <w:r>
        <w:rPr>
          <w:b/>
        </w:rPr>
        <w:t>E. 6</w:t>
      </w:r>
    </w:p>
    <w:p>
      <w:r>
        <w:t>Aufgrund dieser Erwägungen erweist sich die Beschwerde in öffentlich-rechtlichen Angelegenheiten als unbegründet und ist abzuweisen, soweit darauf eingetreten wird (vgl. E. 1.4 hiervor). Bei diesem Verfahrensausgang sind die Gerichtskosten den Beschwerdeführenden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