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712/2016 vom 6. September 2016</w:t>
      </w:r>
    </w:p>
    <w:p>
      <w:r>
        <w:t>Bundesgericht, 2016-09-06, DE</w:t>
      </w:r>
    </w:p>
    <w:p>
      <w:r>
        <w:rPr>
          <w:b/>
        </w:rPr>
        <w:t xml:space="preserve">Quelle: </w:t>
      </w:r>
      <w:r>
        <w:t>https://mcp.opencaselaw.ch/entscheid/bger_2C_712_2016</w:t>
      </w:r>
    </w:p>
    <w:p>
      <w:r>
        <w:t>FR: TF 2C 712/2016 du 6 septembre 2016</w:t>
      </w:r>
    </w:p>
    <w:p>
      <w:r>
        <w:t>IT: TF 2C 712/2016 del 6 settembre 2016</w:t>
      </w:r>
    </w:p>
    <w:p>
      <w:pPr>
        <w:pStyle w:val="Heading2"/>
      </w:pPr>
      <w:r>
        <w:t>Regeste</w:t>
      </w:r>
    </w:p>
    <w:p>
      <w:r>
        <w:t>Ausschaffungshaft / Haftüberprüfung | Bürgerrecht und Ausländerrecht</w:t>
      </w:r>
    </w:p>
    <w:p>
      <w:pPr>
        <w:pStyle w:val="Heading2"/>
      </w:pPr>
      <w:r>
        <w:t>Erwägungen</w:t>
      </w:r>
    </w:p>
    <w:p>
      <w:r>
        <w:rPr>
          <w:b/>
        </w:rPr>
        <w:t>E. 1.1</w:t>
      </w:r>
    </w:p>
    <w:p>
      <w:r>
        <w:t>Das Verwaltungsgericht stützt seinen Haftentscheid auf Art. 76 Abs. 1 lit. b Ziff. 3 und 4 AuG. Danach kann, wenn ein erstinstanzlicher Weg- oder Ausweisungsentscheid eröffnet worden ist, die zuständige Behörde die betroffene Person zur Sicherstellung des Vollzugs in Haft nehmen, wenn konkrete Anzeichen befürchten lassen, dass sie sich der Ausschaffung entziehen will, insbesondere weil sie der Mitwirkungspflicht nicht nachkommt (Ziff. 3) bzw. ihr bisheriges Verhalten darauf schliessen lässt, dass sie sich behördlichen Anordnungen widersetzt (Ziff. 4).</w:t>
      </w:r>
    </w:p>
    <w:p>
      <w:r>
        <w:rPr>
          <w:b/>
        </w:rPr>
        <w:t>E. 1.2</w:t>
      </w:r>
    </w:p>
    <w:p>
      <w:r>
        <w:t>Grundvoraussetzung der Ausschaffungshaft ist ein erstinstanzlicher Ausweisungs- oder Wegweisungsentscheid; dieser braucht nicht bereits rechtskräftig zu sein. Der Beschwerdeführer ist ein anerkannter Flüchtling, dem in der Schweiz Asyl gewährt worden ist. Das Staatssekretariat für Migration hat bisher weder die Flüchtlingseigenschaft des Beschwerdeführers aberkannt noch dessen Asyl widerrufen (vgl. Art. 63 AsylG ). Gemäss Art. 65 AsylG richtet sich die Weg- oder Ausweisung von Flüchtlingen nach Art. 64 in Verbindung mit Art. 63 Abs. 1 lit. b und Art. 68 AuG, wobei Art. 5 AsylG vorbehalten bleibt; wenn die Weg- oder Ausweisung vollzogen worden ist, erlischt das Asyl ( Art. 64 Abs. 1 lit. d AsylG ). Das Bundesgericht hat aufgrund dieser gesetzlichen Regelung entschieden, dass das Asyl nicht zwingend widerrufen werden muss, bevor über die Weg- oder Ausweisung eines Flüchtlings entschieden wird ( BGE 139 II 65 E. 4 S. 67 ff.), dass diesfalls aber namentlich das Rückschiebungsverbot ( Art. 25 Abs. 2 BV , Art. 5 AsylG ), auf das Art. 65 AsylG verweist, mit dem Weg- oder Ausweisungsentscheid zu prüfen ist, und ebenso die Einhaltung des Folterverbots ( Art. 25 Abs. 3 BV , Art. 3 EMRK ; BGE 139 II 65 E. 5 und 6 S. 71 ff. bzw. 74 ff.). Formell liegt hier zwar ein erstinstanzlicher Ausweisungsentscheid des Bundesamtes für Polizei vor. Mit diesem wird aber weder die Einhaltung des Rückschiebungsverbots noch des Folterverbots geprüft, vielmehr hält der Entscheid ausdrücklich fest, dass diese Fragen vertiefter Abklärung bedürften, welche durch das Staatssekretariat für Migration vorzunehmen sei. Damit liegt aber materiell kein Ausweisungsentscheid vor, der - wenn er einmal in Rechtskraft erwachsen sollte - vollzogen werden könnte. Vielmehr sind vorerst erst Teilaspekte geprüft worden, während andere, die Voraussetzung für die Ausweisung und deren Vollzug bilden, einem späteren Entscheid des Staatssekretariats für Migration überlassen werden. Insofern handelt es sich lediglich um eine unter Bedingung erlassene Ausweisung. Entsprechend ist die Haftvoraussetzung eines erstinstanzlichen Ausweisungsentscheids (noch) nicht gegeben.</w:t>
      </w:r>
    </w:p>
    <w:p>
      <w:r>
        <w:rPr>
          <w:b/>
        </w:rPr>
        <w:t>E. 1.3</w:t>
      </w:r>
    </w:p>
    <w:p>
      <w:r>
        <w:t>Selbst wenn man davon ausginge, ein erstinstanzlicher Ausweisungsentscheid liege vor, würde es an einem Haftgrund fehlen. Konkrete Anzeichen dafür, dass sich der Beschwerdeführer der Ausschaffung entziehen würde (vgl. BGE 140 II 1 E. 5.3 S. 4), können entgegen der Auffassung des Verwaltungsgerichts nicht darin erblickt werden, dass der Beschwerdeführer erklärt, nicht in sein Heimatland zurückkehren zu wollen. Der Beschwerdeführer hat vorgebracht, davon Kenntnis erhalten zu haben, dass gegen ihn im Irak ein Haftbefehl bestehe und dass ihm die Todesstrafe drohe. Das ist nicht zum vornherein unglaubwürdig, sondern bedarf, wie schon das Bundesamt für Polizeiwesen festgehalten hat, vertiefter Abklärung. Nach der Rechtsprechung darf aber einem Asylbewerber, solange das Verfahren hängig ist, nicht zum Nachteil gereichen, dass er in seiner Heimat Verfolgung befürchtet und aus diesem Grund erklärt, nicht dorthin zurückkehren zu wollen ( BGE 129 I 139 E. 4.2.1 i.f. S. 147); das nämliche muss bei einem anerkannten Flüchtling gelten, solange nicht abgeklärt ist, ob seine Befürchtung, Verfolgung ausgesetzt zu sein, zutreffend ist oder nicht; man würde ihm sonst zumuten, sich widersprüchlich zu verhalten. Wenn das Verwaltungsgericht vom Beschwerdeführer, ohne dass ihm eine solche Frage gestellt worden wäre, erwartet, dass er die Bereitschaft zur Rückkehr bekundet, falls doch kein Haftbefehl gegen ihn vorliege, mutet dies zu einem Zeitpunkt, wo genau dies der umstrittene Punkt ist, irreal an. Den Akten lässt sich im übrigen entnehmen, dass der Beschwerdeführer aus dem vorzeitigen Strafvollzug seiner Frau geschrieben hat, nach seiner Entlassung mit ihr zusammen im Irak ein Haus bauen und dort leben zu wollen (act. 351). Das war allerdings noch bevor ihm bekannt wurde, dass gegen ihn ein Haftbefehl vorliege. Es zeigt immerhin, dass der Beschwerdeführer entgegen der Auffassung des Verwaltungsgerichts, sich einer Rückkehr wohl nicht widersetzen würde, wenn seine Befürchtung sich als unzutreffend erweisen sollte. Schliesslich kann aus der strafrechtlichen Verurteilung entgegen der Auffassung des Verwaltungsgerichts nicht der Schluss gezogen werden, dass sich der Beschwerdeführer generell behördlichen Anordnungen widersetzt.</w:t>
      </w:r>
    </w:p>
    <w:p>
      <w:r>
        <w:rPr>
          <w:b/>
        </w:rPr>
        <w:t>E. 2</w:t>
      </w:r>
    </w:p>
    <w:p>
      <w:r>
        <w:t>Damit erweist sich die angeordnete Ausschaffungshaft als bundesrechtswidrig, weil weder ein vollständiger erstinstanzlicher Ausweisungsentscheid vorliegt, der bei Rechtskraft vollzogen werden könnte, noch ein Haftgrund gegeben ist. Das angefochtene Urteil ist aufzuheben und der Beschwerdeführer aus der Haft zu entlassen. Entsprechend diesem Verfahrensausgang sind keine Kosten zu erheben ( Art. 66 Abs. 1 und 4 BGG ). Der Kanton Aargau hat den Beschwerdeführer für das bundesgerichtliche Verfahren zu entschädigen ( Art. 68 Abs. 1 und 2 BGG ). Entsprechend wird das Gesuch um unentgeltliche Rechtspflege gegenstandslos. Die Entschädigung ist jedoch dem 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