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2C_712/2014 vom 12. Juni 2015</w:t>
      </w:r>
    </w:p>
    <w:p>
      <w:r>
        <w:t>Bundesgericht, 2015-06-12, DE</w:t>
      </w:r>
    </w:p>
    <w:p>
      <w:r>
        <w:rPr>
          <w:b/>
        </w:rPr>
        <w:t xml:space="preserve">Quelle: </w:t>
      </w:r>
      <w:r>
        <w:t>https://mcp.opencaselaw.ch/entscheid/bger_2C_712_2014</w:t>
      </w:r>
    </w:p>
    <w:p>
      <w:r>
        <w:t>FR: TF 2C_712/2014 du 12 juin 2015</w:t>
      </w:r>
    </w:p>
    <w:p>
      <w:r>
        <w:t>IT: TF 2C_712/2014 del 12 giugno 2015</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gegen eine Nichtverlängerung einer Aufenthaltsbewilligung richten, sofern in vertretbarer Weise ein Anspruch auf eine Verlängerung geltend gemacht wird; ob der Anspruch besteht, ist Gegenstand der materiellen Beurteilung ( BGE 136 II 177 E. 1.1 S. 179 f.; Urteil 2C_575/2013 vom 7. Februar 2014 E. 1.1). Der Beschwerdeführer macht geltend, über drei Jahre mit einer Schweizerin verheiratet und erfolgreich integriert zu sein, weshalb ihm gestützt auf Art. 50 Abs. 1 lit. a AuG ein Anspruch auf Verlängerung seiner Aufenthaltsbewilligung zukomme. Die Beschwerde ist zulässig und der Beschwerdeführer dazu legitimiert ( Art. 89 Abs. 1 BGG ). Auf die Beschwerde ist, vorbehältlich der Erfüllung der Rüge- und Begründungspflicht,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anderen Rechtsverletzung im Sinne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 Das Bundesgericht greift in die Beweiswürdigung des Sachgerichts ein, wenn diese willkürlich ist ( BGE 129 I 8 E. 2.1 S. 9; Urteil 4A_56/2013 vom 4. Juni 2013 E. 2).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Dies ist insbesondere dann der Fall, wenn das Sachgericht offensichtlich unhaltbare Schlüsse zieht, erhebliche Beweise übersieht oder solche willkürlich ausser Acht lässt (vgl. BGE 129 I 8 E. 2.1 S. 9; 120 Ia 31 E. 4b S. 40). Inwiefern die vorinstanzliche Beweiswürdigung willkürlich sein soll, ist in der Beschwerde klar und detailliert aufzuzeigen ( BGE 134 II 244 E. 2.2 S. 246 ; 130 I 258 E. 1.3 S. 262). Insbesondere ist im Einzelnen darzulegen, dass und weshalb die im angefochtenen Entscheid enthaltene Beweiswürdigung unter gar keinen Umständen zutreffen kann ( MÜNCH/LUCZAK, Prozessieren vor Bundesgericht, 3. Aufl. 2011, N. 2.69).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S. 88).</w:t>
      </w:r>
    </w:p>
    <w:p>
      <w:r>
        <w:rPr>
          <w:b/>
        </w:rPr>
        <w:t>E. 2</w:t>
      </w:r>
    </w:p>
    <w:p>
      <w:r>
        <w:t>Der Beschwerdeführer rügt, die Vorinstanz habe in Verletzung von Art. 50 Abs. 1 lit. a AuG einen Anspruch auf Verlängerung seiner Aufenthaltsbewilligung verneint. Entgegen den Ausführungen des kantonalen Migrationsamtes und der Vorinstanz sei es nicht richtig und stossend anzunehmen, die eheliche Gemeinschaft der Ehegatten hätte nur bis Juni 2012 bestanden. Im Sommer 2012 habe eine Ehekrise geherrscht, welche therapeutisch bei der stadtzürcherischen Beratungsstelle Infodonna aufgearbeitet worden sei. Die Tatsache allein, dass der Beschwerdeführer weiterhin drei Mal pro Woche in einem Personalzimmer seines Arbeitgebers in Kloten übernachtet habe, jedoch die freien Tage und seine übrige Zeit bei seiner Ehefrau in der ehelichen Wohnung verbrachte, rechtfertige in keiner Art und Weise, die eheliche Beziehung bereits im Juni 2012 als gescheitert zu betrachten. Es habe sich nicht um eine Unterbrechung der Wohn- und Lebensgemeinschaft während mehrerer Jahre, sondern um mehrere kurzzeitige Unterbrechungen der ehelichen Lebensgemeinschaft gehandelt.</w:t>
      </w:r>
    </w:p>
    <w:p>
      <w:r>
        <w:rPr>
          <w:b/>
        </w:rPr>
        <w:t>E. 2.1</w:t>
      </w:r>
    </w:p>
    <w:p>
      <w:r>
        <w:t>Im vorliegenden Beschwerdeverfahren geht es einzig um die Frage, ob die Vorinstanz das Erreichen der dreijährigen Ehedauer nach Art. 50 Abs. 1 lit. a AuG unter Berücksichtigung von Art. 49 AuG und Art. 76 der Verordnung vom 24. Oktober 2007 über Zulassung, Aufenthalt und Erwerbstätigkeit (VZAE; SR 142.201) rechtmässig verneinen durfte.</w:t>
      </w:r>
    </w:p>
    <w:p>
      <w:r>
        <w:rPr>
          <w:b/>
        </w:rPr>
        <w:t>E. 2.2</w:t>
      </w:r>
    </w:p>
    <w:p>
      <w:r>
        <w:t>Gemäss Art. 42 Abs. 1 AuG haben ausländische Ehegatten von Schweizerinnen und Schweizern Anspruch auf Erteilung und Verlängerung der Aufenthaltsbewilligung, wenn sie mit diesen zusammenwohnen. Vom Erfordernis des Zusammenwohnens im Sinne dieser Bestimmung wird abgesehen, wenn für getrennte Wohnorte wichtige Gründe geltend gemacht werden und die Familiengemeinschaft weiter besteht (Art. 49 AuG). Nach Auflösung der Ehe oder der Familiengemeinschaft besteht der Anspruch des Ehegatten auf Erteilung und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 Art. 50 Abs. 1 AuG geht von einem weiterbestehenden Anspruch aus. Ist der Anspruch nach Art. 50 AuG jedoch bereits deswegen untergegangen, weil es am Zusammenwohnen fehlte, ohne dass dafür wichtige Gründe geltend gemacht wurden, kann dieser Anspruch regelmässig nicht wieder aufleben ( BGE 137 II 345 E. 3.2.1 S. 348; HUGI YAR, Von Trennungen, Härtefällen und Delikten - Ausländerrechtliches rund um die Ehe- und Familiengemeinschaft, in: Jahrbuch für Migrationsrecht 2012/2013, 2013, S. 81).</w:t>
      </w:r>
    </w:p>
    <w:p>
      <w:r>
        <w:rPr>
          <w:b/>
        </w:rPr>
        <w:t>E. 2.3</w:t>
      </w:r>
    </w:p>
    <w:p>
      <w:r>
        <w:t>Als wichtige Gründe im Sinne von Art. 49 AuG, die eine Ausnahme vom Erfordernis des Zusammenwohnens zu begründen vermögen, nennt Art. 76 VZAE sowohl berufliche Verpflichtungen wie auch "eine vorübergehende Trennung wegen erheblicher familiärer Probleme". Weder mit Art. 49 AuG noch mit Art. 76 VZAE sollte jedoch die Praxis wieder eingeführt bzw. fortgesetzt werden, wonach das Aufenthaltsrecht des ausländischen Ehepartners einer Schweizerin oder eines Schweizers erst endet, wenn feststeht, dass die Ehe definitiv gescheitert und eine Berufung darauf rechtsmissbräuchlich ist (Urteil 2C_635/2009 vom 26. März 2010 E. 4.4). Zum einen stünde dies mit dem Ziel des (neuen) Erfordernisses des Zusammenwohnens in Widerspruch. Zum anderen käme Art. 49 AuG nicht mehr der ihm zugewiesene Ausnahmecharakter zu. Nicht jede Trennung von Eheleuten begründet somit eine Ausnahme vom Erfordernis des Zusammenwohnens. Eine Ausnahmesituation nach Art. 49 AuG liegt erst bei "wichtigen" Gründen oder "erheblichen" Problemen vor, wozu auch eine vorübergehende kurzfristige Ehekrise zählen kann ( BGE 137 II 345 E. 3.1.2 S. 347). Das krisenbedingte Getrenntleben darf jedoch nur wenige Monate dauern, ansonsten der Anspruch gestützt auf Art. 42 AuG erlöscht ( HUGI YAR, a.a.O., S. 55).</w:t>
      </w:r>
    </w:p>
    <w:p>
      <w:r>
        <w:rPr>
          <w:b/>
        </w:rPr>
        <w:t>E. 2.4</w:t>
      </w:r>
    </w:p>
    <w:p>
      <w:r>
        <w:t>Der Beschwerdeführer macht sinngemäss eine fehlerhafte Sachverhaltsfeststellung und Beweiswürdigung durch die Vorinstanz geltend. Seine Rügen erschöpfen sich weitgehend in appellatorischer Kritik am angefochtenen Urteil, die für eine Begründung einer willkürlichen Sachverhaltsfeststellung oder eine willkürliche Beweiswürdigung nicht ausreichen (vgl. oben, E. 1.4). Auf die erhobenen Sachverhaltsrügen ist jedoch auch ungeachtet der prozessrechtlichen Begründungs- und Substanziierungsanforderungen nicht einzugehen, weil sie mangels Rechtserheblichkeit für den Verfahrensausgang unerheblich sind (vgl. zu dieser Anforderung Art. 97 Abs. 1 BGG ). Der Beschwerdeführer übersieht, dass in materiell-rechtlicher Hinsicht nach neuem Recht das Aufenthaltsrecht des ausländischen Ehegatten nicht erst endet, wenn die Ehe definitiv als gescheitert anzusehen ist. Ein Anspruch auf ein Aufenthaltsrecht gemäss Art. 42 AuG setzt vielmehr ein Zusammenwohnen der Ehegatten voraus; von diesem Erfordernis ist nur aus wichtigen Gründen (Art. 49 AuG) abzusehen. Gemäss eigenen Angaben vom 13. Juni 2012 und 14. Juni 2013 sowie 29. August 2013 pflegte der Beschwerdeführer während seiner Ehe aus persönlichen (und nicht aus beruflichen) Gründen drei Mal pro Woche in einem Personalzimmer bei seinem Arbeitgeber zu übernachten. Die persönlichen Gründe, die der Beschwerdeführer für dieses Getrenntleben aufführt - Streitigkeiten mit seiner Ehefrau; Ehekrise - könnten zwar eine Ausnahme im Sinne von Art. 49 AuG begründen, stehen jedoch einem Untergang des aus der Ehe abgeleiteten Aufenthaltsanspruchs deswegen nicht entgegen, weil das Getrenntleben unbestrittenermassen nicht auf wenige Monate beschränkt war (oben, E. 2.3 ). Entsprechend ist für den Verfahrensausgang auch unerheblich, ob die Beratung durch die stadtzürcherische Beratungsstelle für Migrantinnen und Migranten als Ehetherapie anzusehen ist. Die Vorinstanz ist somit zutreffend davon ausgegangen, der Beschwerdeführer habe während bestehender Ehe ohne wichtige Gründe nicht mit seiner Ehefrau zusammengewohnt.</w:t>
      </w:r>
    </w:p>
    <w:p>
      <w:r>
        <w:rPr>
          <w:b/>
        </w:rPr>
        <w:t>E. 2.5</w:t>
      </w:r>
    </w:p>
    <w:p>
      <w:r>
        <w:t>Es ergibt sich, dass die Vorinstanz die Anspruchsvoraussetzung der dreijährigen Ehedauer nach Art. 50 Abs. 1 lit. a AuG zu Recht verneint hat und die Beschwerde demzufolge abzuweisen ist. Dass wichtige Gründe im Sinne von Art. 50 Abs. 1 lit. b AuG einen weiteren Aufenthalt des Beschwerdeführers in der Schweiz erfordern würden, wird vom Beschwerdeführer weder geltend gemacht noch sind solche Gründe aus den Akten ersichtlich.</w:t>
      </w:r>
    </w:p>
    <w:p>
      <w:r>
        <w:rPr>
          <w:b/>
        </w:rPr>
        <w:t>E. 3</w:t>
      </w:r>
    </w:p>
    <w:p>
      <w:r>
        <w:t>Bei diesem Verfahrensausgang sind die Gerichtskosten dem Beschwerdeführer aufzuerlegen ( Art. 66 Abs. 1 BGG ). Parteientschädigungen werden nicht 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