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2C_706/2008 vom 13. Oktober 2008</w:t>
      </w:r>
    </w:p>
    <w:p>
      <w:r>
        <w:t>Bundesgericht, 2008-10-13, FR</w:t>
      </w:r>
    </w:p>
    <w:p>
      <w:r>
        <w:rPr>
          <w:b/>
        </w:rPr>
        <w:t xml:space="preserve">Quelle: </w:t>
      </w:r>
      <w:r>
        <w:t>https://mcp.opencaselaw.ch/entscheid/bger_2C_706_2008</w:t>
      </w:r>
    </w:p>
    <w:p>
      <w:r>
        <w:t>FR: TF 2C_706/2008 du 13 octobre 2008</w:t>
      </w:r>
    </w:p>
    <w:p>
      <w:r>
        <w:t>IT: TF 2C_706/2008 del 13 ottobre 2008</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D'après l'art. 126 al. 1 LEtr, les demandes déposées avant l'entrée en vigueur de la nouvelle loi sont régies par l'ancien droit. La demande de réexamen qui est à la base du présent litige est postérieure au 1er janvier 2008. Il y a donc lieu d'appliquer le nouveau droit en l'espèce.</w:t>
      </w:r>
    </w:p>
    <w:p>
      <w:r>
        <w:rPr>
          <w:b/>
        </w:rPr>
        <w:t>E. 2</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w:t>
      </w:r>
    </w:p>
    <w:p>
      <w:r>
        <w:rPr>
          <w:b/>
        </w:rPr>
        <w:t>E. 2.1</w:t>
      </w:r>
    </w:p>
    <w:p>
      <w:r>
        <w:t>Le recourant ne peut pas revendiquer de droit à une autorisation de séjour en rapport avec son mariage. En effet, il est actuellement divorcé, de sorte qu'il ne peut pas se prévaloir de l'art. 42 LEtr; de plus, son union conjugale avec B.X.Y.________ a duré moins de trois ans, de sorte qu'il ne peut pas invoquer l'art. 50 al. 1 lettre a LEtr.</w:t>
      </w:r>
    </w:p>
    <w:p>
      <w:r>
        <w:rPr>
          <w:b/>
        </w:rPr>
        <w:t>E. 2.2</w:t>
      </w:r>
    </w:p>
    <w:p>
      <w:r>
        <w:t>Par ailleurs, le recourant ne peut pas se prévaloir du droit au respect de sa vie privée et familiale garanti par l' art. 8 par. 1 CEDH , en raison de la relation qu'il entretient avec C.Z.________. Sous réserve de circonstances particulières, les fiancés ou les concubins ne sont, en effet,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(arrêts 2C_520/2007 du 15 octobre 2007, consid. 2.2, et 2C.90/2007 du 27 août 2007, consid. 4.1 et les références). Le recourant ne démontre pas qu'il entretienne depuis longtemps des relations étroites et effectivement vécues avec C.Z.________ et on ne saurait considérer qu'il soit sur le point de l'épouser, puisque le divorce de celle-ci n'a pas encore été prononcé.</w:t>
      </w:r>
    </w:p>
    <w:p>
      <w:r>
        <w:t>Au vu de ce qui précède, le recours en matière de droit public est irrecevable, au regard de l'art. 83 lettre c ch. 2 LTF.</w:t>
      </w:r>
    </w:p>
    <w:p>
      <w:r>
        <w:rPr>
          <w:b/>
        </w:rPr>
        <w:t>E. 3</w:t>
      </w:r>
    </w:p>
    <w:p>
      <w:r>
        <w:t>Reste à examiner le recours constitutionnel subsidiaire. Cette voie de droit n'est ouverte que pour se plaindre de la violation des droits constitutionnels ( art. 116 LTF ), qu'il appartient au recourant d'invoquer et de motiver sous peine d'irrecevabilité (cf. art. 106 al. 2 LTF applicable par renvoi de l' art. 117 LTF ). Le recourant doit en outre avoir un intérêt juridique à l'annulation ou à la modification de la décision attaquée ( art. 115 lettre b LTF ). Faute de droit à une autorisation de séjour, l'interdiction générale de l'arbitraire découlant de l' art. 9 Cst. ne confère pas à elle seule au recourant une position juridique protégée au sens de l' art. 115 lettre b LTF ( ATF 133 I 185 consid. 6.1 p. 197/198). En outre, le principe de la proportionnalité ne constitue pas un droit constitutionnel ayant une portée propre sur lequel le recourant pourrait se fonder (cf. arrêt 2C_668/2007 du 7 décembre 2007, consid. 4.2).</w:t>
      </w:r>
    </w:p>
    <w:p>
      <w:r>
        <w:t>Le recourant critique le raisonnement des juges cantonaux qu'il qualifie d'insoutenable, d'arbitraire et de contraire au principe de la proportionnalité. Dans la mesure où il n'invoque aucun autre droit constitutionnel au sens de l' art. 116 LTF , son recours constitutionnel subsidiaire est aussi irrecevable.</w:t>
      </w:r>
    </w:p>
    <w:p>
      <w:r>
        <w:rPr>
          <w:b/>
        </w:rPr>
        <w:t>E. 4</w:t>
      </w:r>
    </w:p>
    <w:p>
      <w:r>
        <w:t>Au vu de ce qui précède, le recours en matière de droit public et le recours constitutionnel subsidiaire doivent être déclarés irrecevables, sans qu'il soit nécessaire d'ordonner un échange d'écritures (cf. art. 102 LTF ).</w:t>
      </w:r>
    </w:p>
    <w:p>
      <w:r>
        <w:t>Le présent arrêt rend sans objet la demande d'effet suspensif/mesures provisionnelles ainsi que la requête tendant à la suspension de la procédure.</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