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2C_705/2021 vom 7. Februar 2022</w:t>
      </w:r>
    </w:p>
    <w:p>
      <w:r>
        <w:t>Bundesgericht, 2022-02-07, FR</w:t>
      </w:r>
    </w:p>
    <w:p>
      <w:r>
        <w:rPr>
          <w:b/>
        </w:rPr>
        <w:t xml:space="preserve">Quelle: </w:t>
      </w:r>
      <w:r>
        <w:t>https://mcp.opencaselaw.ch/entscheid/bger_2C_705_2021</w:t>
      </w:r>
    </w:p>
    <w:p>
      <w:r>
        <w:t>FR: TF 2C_705/2021 du 7 février 2022</w:t>
      </w:r>
    </w:p>
    <w:p>
      <w:r>
        <w:t>IT: TF 2C_705/2021 del 7 febbraio 2022</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Dans une procédure administrative, l'auteur d'un recours déclaré irrecevable est habilité à contester l'irrecevabilité par un recours en matière de droit public lorsque l'arrêt au fond de l'autorité intimée aurait pu être déféré au Tribunal fédéral par cette voie ( ATF 135 II 145 consid. 3.2; 131 II 497 consid. 1; 124 II 499 consid. 1b; arrêts 2C_444/2021 du 19 octobre 2021 consid. 1.3; 2C_709/2020 du 18 juin 2021 consid. 1.1). En l'espèce, le recours est dirigé contre un arrêt de la Cour de justice confirmant l'irrecevabilité du recours formé par la recourante devant le Tribunal administratif de première instance contre une facture datée du 27 novembre 2019 portant sur une taxe d'équipement. Il s'agit donc au fond d'une cause de droit public ( art. 82 let. a LTF ). Comme aucune des exceptions prévues à l' art. 83 LTF n'est réalisée, la voie du recours en matière de droit public au sens des art. 82 ss LTF est dès lors ouverte, la recourante, qui a participé à la procédure antérieure et qui a un intérêt à l'annulation de l'arrêt entrepris, ayant qualité pour recourir ( art. 89 al. 1 LTF ).</w:t>
      </w:r>
    </w:p>
    <w:p>
      <w:r>
        <w:rPr>
          <w:b/>
        </w:rPr>
        <w:t>E. 1.2</w:t>
      </w:r>
    </w:p>
    <w:p>
      <w:r>
        <w:t>Pour le reste, l'arrêt attaqué est une décision finale ( art. 90 LTF ), rendue en dernière instance cantonale par un tribunal supérieur ( art. 86 al. 1 let . d et al. 2 LTF). Le recours a été déposé en temps utile (art. 46 al. 1 let. b et 100 al. 1 LTF) et dans les formes requises ( art. 42 LTF ). Il convient dès lors d'entrer en matière sous réserve de ce qui suit.</w:t>
      </w:r>
    </w:p>
    <w:p>
      <w:r>
        <w:rPr>
          <w:b/>
        </w:rPr>
        <w:t>E. 1.3</w:t>
      </w:r>
    </w:p>
    <w:p>
      <w:r>
        <w:t>Dans le cadre d'une procédure de recours dont l'objet concerne un prononcé d'irrecevabilité, le recourant ne peut obtenir que le renvoi de la cause à l'autorité pour qu'elle entre en matière sur le recours et statue sur le fond. La cause au fond ne peut pas être remise en cause devant le Tribunal fédéral (cf. ATF 143 I 344 consid. 4; 135 II 145 consid. 4). En l'occurrence, en tant que la recourante se plaint d'une violation de l' art. 19 LAT (RS 700) et d'une application arbitraire du droit cantonal en lien avec cette disposition, respectivement d'une violation des principes de l'équivalence et de la couverture des coûts, elle critique le bien-fondé de la taxe d'équipement contestée. Le Tribunal fédéral n'entrera pas en matière sur ces griefs, ni sur les critiques de la recourante liées à l'exigibilité de la créance qui concernent le fond du litige.</w:t>
      </w:r>
    </w:p>
    <w:p>
      <w:r>
        <w:rPr>
          <w:b/>
        </w:rPr>
        <w:t>E. 2.1</w:t>
      </w:r>
    </w:p>
    <w:p>
      <w:r>
        <w:t>Saisi d'un recours en matière de droit public, le Tribunal fédéral examine librement la violation du droit fédéral (cf. art. 95 let. a et 106 al. 1 LTF ), alors qu'il ne revoit le droit cantonal, sous réserve d'exceptions non réalisées en l'espèce (cf. art. 95 LTF ), que sous l'angle de la violation des droits fondamentaux - en particulier l'arbitraire.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En l'espèce, la recourante se plaint du fait que la Cour de justice a refusé, sur la base du droit cantonal, de considérer ses courriers des 19 mars 2014 et 23 décembre 2019 comme des demandes de reconsidération de la décision de taxation de mars 2005. Elle critique également que l'autorité précédente ait retenu, toujours sur la base du droit cantonal, que le bordereau du 22 novembre 2019 n'était pas une décision sujette à recours. Sur ces points, la recourante n'invoque pas, ni</w:t>
      </w:r>
    </w:p>
    <w:p>
      <w:r>
        <w:t>a fortiori ne démontre l'arbitraire dans l'application du droit cantonal ou la violation d'un droit fondamental. Ses critiques ne répondent pas aux exigences de motivation qualifiée de l' art. 106 al. 2 LTF . Il n'y a donc pas lieu d'examiner ces questions plus avant. En tant que la recourante se plaint d'une violation du principe de la bonne foi garanti par l' art. 9 Cst. , sans dire en quoi cette disposition aurait été violée, le Tribunal fédéral n'entrera pas non plus en matière sur ce point, faute de motivation suffisante.</w:t>
      </w:r>
    </w:p>
    <w:p>
      <w:r>
        <w:rPr>
          <w:b/>
        </w:rPr>
        <w:t>E. 2.3</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2.4</w:t>
      </w:r>
    </w:p>
    <w:p>
      <w:r>
        <w:t>Dans un grief "En fait", la recourante invoque un établissement manifestement inexact des faits et une appréciation arbitraire des preuves. Ses critiques portent uniquement sur des faits ayant trait aux travaux d'équipement réalisés par la commune de B.________ en lien avec l'autorisation de construire xxxxxxx. Ces faits sont repris par la recourante dans son argumentation juridique concernant ses griefs de fond. Ces griefs étant irrecevables (cf.</w:t>
      </w:r>
    </w:p>
    <w:p>
      <w:r>
        <w:t>supra consid. 1.3), les critiques de la recourante ne portent pas sur des faits pertinents pour juger de la présente cause. Partant, le Tribunal fédéral ne les examinera pas plus avant et statuera exclusivement sur la base des faits retenus par la Cour de justice.</w:t>
      </w:r>
    </w:p>
    <w:p>
      <w:r>
        <w:rPr>
          <w:b/>
        </w:rPr>
        <w:t>E. 3.1</w:t>
      </w:r>
    </w:p>
    <w:p>
      <w:r>
        <w:t>Le litige porte sur l'irrecevabilité du recours formé par la recourante devant le Tribunal administratif de première instance contre une facture datée du 27 novembre 2019 portant sur une taxe d'équipement, irrecevabilité confirmée par l'arrêt contesté. En substance, la Cour de justice a retenu que la recourante ne pouvait pas, au regard du principe de la bonne foi ancré à l' art. 5 al. 3 Cst. , attendre janvier 2020 pour contester la taxe d'équipement reçue fin mars 2005 auprès de la juridiction administrative compétente, considérant que les bordereaux ultérieurs qui lui avaient été transmis n'étaient pas sujets à recours, car ils n'étaient que des mesures d'exécution visant le paiement de la taxe.</w:t>
      </w:r>
    </w:p>
    <w:p>
      <w:r>
        <w:rPr>
          <w:b/>
        </w:rPr>
        <w:t>E. 3.2</w:t>
      </w:r>
    </w:p>
    <w:p>
      <w:r>
        <w:t>La recourante invoque pêle-mêle, d'une manière à la limite de la recevabilité (cf.</w:t>
      </w:r>
    </w:p>
    <w:p>
      <w:r>
        <w:t>supra consid. 2.1), un déni de justice ( art. 29 al. 1 Cst. ; cf.</w:t>
      </w:r>
    </w:p>
    <w:p>
      <w:r>
        <w:t>infra consid. 4), ainsi qu'une violation du droit d'être entendu ( art. 29 al. 2 Cst. ; cf.</w:t>
      </w:r>
    </w:p>
    <w:p>
      <w:r>
        <w:t>infra consid. 5) et du droit d'accès au juge ( art. 29a Cst. ; cf.</w:t>
      </w:r>
    </w:p>
    <w:p>
      <w:r>
        <w:t>infra consid. 6). Elle soutient en particulier qu'il lui était impossible de recourir contre la taxe d'équipement en 2005, car, à cette époque, la jurisprudence cantonale considérait qu'une telle taxe ne pouvait pas faire l'objet d'un recours. L'arrêt attaqué la priverait donc de toute possibilité de bénéficier d'une voie de droit et de saisir un juge de son affaire. Il convient de passer en revue ces griefs dans la mesure où l'on peut les distinguer.</w:t>
      </w:r>
    </w:p>
    <w:p>
      <w:r>
        <w:rPr>
          <w:b/>
        </w:rPr>
        <w:t>E. 4</w:t>
      </w:r>
    </w:p>
    <w:p>
      <w:r>
        <w:t>S'agissant du déni de justice, la recourante soutient que la Cour de justice n'aurait à tort pas traité ses griefs de fond.</w:t>
      </w:r>
    </w:p>
    <w:p>
      <w:r>
        <w:rPr>
          <w:b/>
        </w:rPr>
        <w:t>E. 4.1</w:t>
      </w:r>
    </w:p>
    <w:p>
      <w:r>
        <w:t>Une autorité commet un déni de justice formel et viole l' art. 29 al. 1 Cst. lorsqu'elle n'entre pas en matière dans une cause qui lui est soumise dans les formes et délais prescrits, alors qu'elle devrait s'en saisir ( ATF 142 II 154 consid. 4.2; cf. également 144 II 184 consid. 3.1; 141 I 172 consid. 5.2; 135 I 6 consid. 2.1; 134 I 229 consid. 2.3). L'autorité commet également un déni de justice formel lorsqu'elle ne traite pas un grief relevant de sa compétence, motivé de façon suffisante et pertinent pour l'issue du litige ( ATF 141 V 557 consid. 3.2.1 et les références citées; arrêt 9C_177/2020 du 28 mai 2021 consid. 5.2 non publié in ATF 147 V 242 ).</w:t>
      </w:r>
    </w:p>
    <w:p>
      <w:r>
        <w:rPr>
          <w:b/>
        </w:rPr>
        <w:t>E. 4.2</w:t>
      </w:r>
    </w:p>
    <w:p>
      <w:r>
        <w:t>En l'occurrence, les griefs de droit matériel soulevés par la recourante dans son recours cantonal n'étaient pas pertinents pour statuer sur l'issue du litige. En effet, le jugement du Tribunal administratif de première instance, objet du recours cantonal, déclarait irrecevable le recours formé devant cette autorité pour des motifs procéduraux, sans juger du fond. Comme c'est le cas de la procédure devant le Tribunal fédéral (cf.</w:t>
      </w:r>
    </w:p>
    <w:p>
      <w:r>
        <w:t>supra consid. 1.3), la Cour de justice devait uniquement vérifier la bonne application du droit procédural ayant conduit au prononcé d'irrecevabilité, sans traiter du droit de fond. Partant, la critique de la recourante doit être rejetée.</w:t>
      </w:r>
    </w:p>
    <w:p>
      <w:r>
        <w:rPr>
          <w:b/>
        </w:rPr>
        <w:t>E. 5</w:t>
      </w:r>
    </w:p>
    <w:p>
      <w:r>
        <w:t>La recourante se plaint également d'une violation du droit d'être entendu garanti par l' art. 29 Cst. , en particulier du droit à une décision motivée.</w:t>
      </w:r>
    </w:p>
    <w:p>
      <w:r>
        <w:rPr>
          <w:b/>
        </w:rPr>
        <w:t>E. 5.1</w:t>
      </w:r>
    </w:p>
    <w:p>
      <w:r>
        <w:t>L'autorité viole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141 V 557 consid. 3.2.1; 138 I 232 consid. 5.1; 137 II 266 consid. 3.2). L'essentiel est que la décision indique clairement les faits qui sont établis et les déductions juridiques qui sont tirées de l'état de fait déterminant ( ATF 142 II 154 consid. 4.2; 135 II 145 consid. 8.2).</w:t>
      </w:r>
    </w:p>
    <w:p>
      <w:r>
        <w:rPr>
          <w:b/>
        </w:rPr>
        <w:t>E. 5.2</w:t>
      </w:r>
    </w:p>
    <w:p>
      <w:r>
        <w:t>En l'espèce, la recourante reproche à la Cour de justice de ne pas avoir suivi son argumentation et d'avoir considéré qu'il existait une voie de droit ouverte à l'encontre de la taxe d'équipement notifiée en mars 2005. La recourante ne fait ainsi qu'opposer son propre point de vue à celui de la Cour de justice. Dans la mesure où la motivation de l'arrêt attaqué permet sans difficulté de comprendre le raisonnement qui a conduit l'autorité précédente à prendre sa décision, on ne voit pas en quoi l'arrêt attaqué serait contraire au droit à une décision motivée découlant de l' art. 29 al. 2 Cst.</w:t>
      </w:r>
    </w:p>
    <w:p>
      <w:r>
        <w:rPr>
          <w:b/>
        </w:rPr>
        <w:t>E. 6</w:t>
      </w:r>
    </w:p>
    <w:p>
      <w:r>
        <w:t>Reste à examiner si, comme le soutient la recourante, le raisonnement de la Cour de justice l'empêcherait de soumettre sa cause à un juge en violation de l' art. 29a Cst.</w:t>
      </w:r>
    </w:p>
    <w:p>
      <w:r>
        <w:rPr>
          <w:b/>
        </w:rPr>
        <w:t>E. 6.1</w:t>
      </w:r>
    </w:p>
    <w:p>
      <w:r>
        <w:t>Selon cette disposition, toute personne a droit à ce que sa cause soit jugée par une autorité judiciaire. La Confédération et les cantons peuvent, par la loi, exclure l'accès au juge dans des cas exceptionnels. Cette norme constitutionnelle étend donc le contrôle judiciaire en principe à toutes les contestations juridiques. Il s'agit en particulier de contestations portant sur les droits et les obligations de personnes (physiques ou morales). La garantie ne s'oppose cependant pas aux conditions de recevabilité habituelles du recours ou de l'action ( ATF 143 I 344 consid. 8.2; 141 I 172 consid. 4.4; 137 II 409 consid. 4.2; 136 I 323 consid. 4.3). L' art. 6 par. 1 CEDH , mentionné par la recourante, n'offre pas une protection plus étendue que la garantie constitutionnelle de l' art. 29a Cst. ( ATF 130 I 312 consid. 1.1; arrêt 5A_867/2021 du 12 janvier 2022 consid. 4.1.4), à supposer qu'il soit applicable à la présente cause.</w:t>
      </w:r>
    </w:p>
    <w:p>
      <w:r>
        <w:rPr>
          <w:b/>
        </w:rPr>
        <w:t>E. 6.2</w:t>
      </w:r>
    </w:p>
    <w:p>
      <w:r>
        <w:t>En l'occurrence, l'argumentation de la recourante est fondée sur la prémisse qu'il ne lui était pas possible de recourir contre la décision de taxation de mars 2005 en raison de la jurisprudence cantonale alors en vigueur. Or, il ressort de l'arrêt attaqué d'une manière qui lie le Tribunal fédéral - celui-ci ne revoyant par librement le droit cantonal (cf. consid. 2.1 ci-dessus) - que la recourante donne une portée erronée à la jurisprudence cantonale qui n'a jamais empêché le dépôt d'un recours contre une taxe d'équipement. Ainsi, selon l'interprétation donnée par la Cour de justice du droit cantonal que la recourante ne conteste pas sous l'angle de l'arbitraire, celle-ci pouvait recourir contre la taxe d'équipement de mars 2005. En outre, selon l'arrêt attaqué, le bordereau du 31 décembre 2013, qui concernait la même taxe d'équipement, mentionnait des voies de droit dont la recourante n'a pas non plus fait usage, quand bien même le Département l'avait rendue attentive, par courrier du 21 décembre 2012, au fait que la décision de mars 2005 était définitive et exécutoire, faute d'avoir été contestée. La recourante ne saurait dès lors reprocher à la Cour de justice de l'empêcher de soumettre sa cause à un juge, alors qu'elle a, volontairement et à deux reprises, renoncé à recourir contre la taxe d'équipement.</w:t>
      </w:r>
    </w:p>
    <w:p>
      <w:r>
        <w:rPr>
          <w:b/>
        </w:rPr>
        <w:t>E. 6.3</w:t>
      </w:r>
    </w:p>
    <w:p>
      <w:r>
        <w:t>Au demeurant, le litige concerne l'irrecevabilité du recours formé contre le bordereau notifié à la recourante en novembre 2019. Or, la question de savoir si cette décision n'est qu'une mesure d'exécution de la décision de mars en 2005 non sujette à recours, comme l'a retenu la Cour de justice, ou une nouvelle décision au fond qui pourrait faire l'objet d'un recours, comme le soutient la recourante, est sans pertinence. Même si on considère que le bordereau de 2019 est une décision au fond, celle-ci n'aurait de toute façon pas pu faire l'objet d'un recours en l'espèce. En effet, selon la jurisprudence, une nouvelle notification d'une même décision ne fait pas courir un nouveau délai de recours lorsque le délai de recours précédent avait été correctement indiqué et qu'il est écoulé depuis lors (cf. ATF 118 V 190 consid. 3a; arrêts 4A_53/2019 du 14 mai 2019 consid. 4.2 et 4.3; 8C_652/2016 du 21 février 2017 consid. 4.6; 9C_102/2016 du 21 mars 2016 consid. 2; 4A_246/2009 du 6 août 2009 consid. 3.2). Or, il ressort de l'arrêt attaqué que les bordereaux avec factures de décembre 2013 et novembre 2019 notifiés à la recourante avaient le même contenu sur le fond et mentionnaient tous deux les bonnes voies de droit (ce qui n'était pas le cas du premier bordereau de 2005). En conséquence, la notification d'un nouveau bordereau avec facture à la recourante en novembre 2019 n'a pas fait courir un nouveau délai de recours. Le principe et le montant de la taxe d'équipement ont acquis force de chose décidée, au plus tard à l'échéance des voies de droit mentionnées au pied du bordereau de décembre 2013 et ne peuvent depuis lors plus faire l'objet d'un recours.</w:t>
      </w:r>
    </w:p>
    <w:p>
      <w:r>
        <w:t>En conséquence, la Cour de justice n'a pas méconnu les règles applicables à la recevabilité du recours en confirmant le prononcé d'irrecevabilité. Partant, on ne perçoit pas de violation des art. 29a Cst. et 6 par. 1 CEDH, à supposer qu'il s'applique.</w:t>
      </w:r>
    </w:p>
    <w:p>
      <w:r>
        <w:t>Les critiques de la recourante sont donc mal fondées.</w:t>
      </w:r>
    </w:p>
    <w:p>
      <w:r>
        <w:rPr>
          <w:b/>
        </w:rPr>
        <w:t>E. 7</w:t>
      </w:r>
    </w:p>
    <w:p>
      <w:r>
        <w:t>Sur le vu de ce qui précède, le recours doit être rejeté, dans la mesure où il est recevable.</w:t>
      </w:r>
    </w:p>
    <w:p>
      <w:r>
        <w:t>La recourante, qui succombe,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