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2C_702/2023 vom 11. Januar 2024</w:t>
      </w:r>
    </w:p>
    <w:p>
      <w:r>
        <w:t>Bundesgericht, 2024-01-11, FR</w:t>
      </w:r>
    </w:p>
    <w:p>
      <w:r>
        <w:rPr>
          <w:b/>
        </w:rPr>
        <w:t xml:space="preserve">Quelle: </w:t>
      </w:r>
      <w:r>
        <w:t>https://mcp.opencaselaw.ch/entscheid/bger_2C_702_2023</w:t>
      </w:r>
    </w:p>
    <w:p>
      <w:r>
        <w:t>FR: TF 2C_702/2023 du 11 janvier 2024</w:t>
      </w:r>
    </w:p>
    <w:p>
      <w:r>
        <w:t>IT: TF 2C_702/2023 del 11 gennaio 2024</w:t>
      </w:r>
    </w:p>
    <w:p>
      <w:pPr>
        <w:pStyle w:val="Heading2"/>
      </w:pPr>
      <w:r>
        <w:t>Erwägungen</w:t>
      </w:r>
    </w:p>
    <w:p>
      <w:r>
        <w:rPr>
          <w:b/>
        </w:rPr>
        <w:t>E. 1</w:t>
      </w:r>
    </w:p>
    <w:p>
      <w:r>
        <w:t>Le 4 mars 2022, D.________, avocat à Genève, a demandé à la Commission du Barreau du canton de Genève la levée de son secret professionnel le liant à A.________ ainsi qu'aux sociétés E.________ en liquidation, B.________ SA et C.________ SA précédemment F.________ SA, dont ce dernier est ou était administrateur, aux fins de recouvrer des notes d'honoraires restées impayées dans l'attente d'un retour à meilleure fortune de A.________.</w:t>
      </w:r>
    </w:p>
    <w:p>
      <w:r>
        <w:t>Par décision du 6 octobre 2022, le Bureau de la Commission du Barreau a délié l'avocat de son secret professionnel à l'égard des précités en vue du recouvrement de ses honoraires. Cette décision a été confirmée par la décision rendue le 12 décembre 2022 par la Plénière de la Commission du Barreau.</w:t>
      </w:r>
    </w:p>
    <w:p>
      <w:r>
        <w:t>Par arrêt du 7 novembre 2023, notifié le 9 novembre 2023, la Cour de justice du canton de Genève a rejeté le recours que A.________, B.________ SA et C.________ SA avaient interjeté contre la décision rendue le 12 décembre 2022 par la plénière de la Commission du Barreau.</w:t>
      </w:r>
    </w:p>
    <w:p>
      <w:r>
        <w:rPr>
          <w:b/>
        </w:rPr>
        <w:t>E. 2</w:t>
      </w:r>
    </w:p>
    <w:p>
      <w:r>
        <w:t>Par courriel qualifié d'"anticipé" du 6 décembre 2023 adressé au Tribunal fédéral, A.________, B.________ SA et C.________ SA ont déposé un recours en matière de droit public contre l'arrêt rendu le 7 novembre 2023 par la Cour de justice du canton de Genève, dont ils demandent la réforme en ce sens que la levée du secret professionnel n'est accordée qu'envers A.________. Le courriel du 6 décembre 2023 annonçait également l'envoi du recours par courrier recommandé. Aucun envoi n'est parvenu à ce jour au Tribunal fédéral.</w:t>
      </w:r>
    </w:p>
    <w:p>
      <w:r>
        <w:t>Il n'a pas été ordonné d'échange des écritures.</w:t>
      </w:r>
    </w:p>
    <w:p>
      <w:r>
        <w:rPr>
          <w:b/>
        </w:rPr>
        <w:t>E. 3.1</w:t>
      </w:r>
    </w:p>
    <w:p>
      <w:r>
        <w:t>Le recours contre une décision doit être déposé devant le Tribunal fédéral dans les 30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w:t>
      </w:r>
    </w:p>
    <w:p>
      <w:r>
        <w:t>En vertu de l' art. 42 al. 4 LTF , en cas de transmission électronique, le mémoire doit être muni de la signature électronique qualifiée de la partie ou de son mandataire au sens de la loi du 18 mars 2016 sur la signature électronique (RS 943.03). Selon la jurisprudence, si la signature électronique fait défaut, le recours est d'emblée considéré comme irrecevable, de sorte qu'il n'est pas possible de remédier à ce défaut passé le délai pour recourir (arrêts 5A_238/2021 du 2 novembre 2021 consid. 3.4; 4A_596/2015 du 9 décembre 2015 et les références citées).</w:t>
      </w:r>
    </w:p>
    <w:p>
      <w:r>
        <w:rPr>
          <w:b/>
        </w:rPr>
        <w:t>E. 3.2</w:t>
      </w:r>
    </w:p>
    <w:p>
      <w:r>
        <w:t>En l'occurrence, le courriel envoyé par les recourants n'est pas muni d'une signature électronique qualifiée au sens de l' art 42 al. 4 LTF , de sorte qu'il n'est pas valablement déposé.</w:t>
      </w:r>
    </w:p>
    <w:p>
      <w:r>
        <w:t>Certes, le courriel "anticipé" parvenu sur la boîte de courrier électronique du Tribunal fédéral annonçait en outre l'envoi du recours par courrier recommandé. Ce courrier n'est toutefois jamais parvenu au Tribunal fédéral.</w:t>
      </w:r>
    </w:p>
    <w:p>
      <w:r>
        <w:t>Le délai pour déposer un recours en bonne et due forme contre l'arrêt du 7 novembre 2023 étant échu le 11 décembre 2023, il faut constater que l'écriture envoyée au Tribunal fédéral par courriel ne comporte pas de signature électronique valable et qu'aucune signature manuscrite du recours n'est parvenue à ce dernier par voie de courrier recommandé comme annoncé avant l'échéance du délai du recours.</w:t>
      </w:r>
    </w:p>
    <w:p>
      <w:r>
        <w:rPr>
          <w:b/>
        </w:rPr>
        <w:t>E. 4</w:t>
      </w:r>
    </w:p>
    <w:p>
      <w:r>
        <w:t>Les considérants qui précèdent conduisent à l'irrecevabilité manifeste du recours qui est prononcée selon la procédure simplifiée de l' art. 108 al. 1 let. a LTF .</w:t>
      </w:r>
    </w:p>
    <w:p>
      <w:r>
        <w:t>Succombant, les recourants supporteront les frais judiciaires réduits solidairement entre eux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