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2C_696/2009 vom 3. März 2010</w:t>
      </w:r>
    </w:p>
    <w:p>
      <w:r>
        <w:t>Bundesgericht, 2010-03-03, FR</w:t>
      </w:r>
    </w:p>
    <w:p>
      <w:r>
        <w:rPr>
          <w:b/>
        </w:rPr>
        <w:t xml:space="preserve">Quelle: </w:t>
      </w:r>
      <w:r>
        <w:t>https://mcp.opencaselaw.ch/entscheid/bger_2C_696_2009</w:t>
      </w:r>
    </w:p>
    <w:p>
      <w:r>
        <w:t>FR: TF 2C_696/2009 du 3 mars 2010</w:t>
      </w:r>
    </w:p>
    <w:p>
      <w:r>
        <w:t>IT: TF 2C_696/2009 del 3 marzo 2010</w:t>
      </w:r>
    </w:p>
    <w:p>
      <w:pPr>
        <w:pStyle w:val="Heading2"/>
      </w:pPr>
      <w:r>
        <w:t>Erwägungen</w:t>
      </w:r>
    </w:p>
    <w:p>
      <w:r>
        <w:rPr>
          <w:b/>
        </w:rPr>
        <w:t>E. 1</w:t>
      </w:r>
    </w:p>
    <w:p>
      <w:r>
        <w:t>Selon l' art. 83 let . c ch. 2 LTF, le recours est irrecevable contre les décisions en matière de droit des étrangers qui concernent une autorisation à laquelle ni le droit fédéral ni le droit international ne donne droit. Selon la jurisprudence, si l'intéressé fait valoir qu'il a droit à une autorisation de séjour sur la base de l'accord sur la libre circulation des personnes, le Tribunal fédéral entre en matière du seul fait que celui-ci est un ressortissant de l'Union européenne, examinant ensuite avec le fond si la convention confère effectivement un tel droit ( ATF 131 II 339 consid. 1.2; arrêt 2C_217/2009 du 11 septembre 2009 consid. 1.2). L' art. 6 ALCP garantit aux personnes n'exerçant pas d'activité économique le droit de séjourner sur le territoire d'une partie contractante, conformément aux dispositions de l'annexe 1 relatives aux non-actifs. Partant, le recours est recevable de ce point de vue.</w:t>
      </w:r>
    </w:p>
    <w:p>
      <w:r>
        <w:rPr>
          <w:b/>
        </w:rPr>
        <w:t>E. 2</w:t>
      </w:r>
    </w:p>
    <w:p>
      <w:r>
        <w:t>Selon l' art. 24 par. 1 annexe 1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(lettre a) et d'une assurance-maladie couvrant l'ensemble des risques (lettre b). Le paragraphe 2 de l' art. 24 annexe 1 ALCP précise que les moyens financiers nécessaires sont réputés suffisants s'ils dépassent le montant en-dessous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européenne et ses États membres, ainsi qu'entre les États membres de l'Association européenne de libre-échange (ordonnance sur l'introduction de la libre circulation des personnes; OLCP; RS 142.203), tel est le cas si ces moyens dépassent les prestations d'assistance qui seraient allouées en vertu des directives "Aide sociale: concepts et normes de calcul" de la Conférence suisse des institutions d'actions sociales (CSIAS), à un ressortissant suisse, éventuellement aux membres de sa famille, suite à la demande de l'intéressé et compte tenu de sa situation personnelle. En d'autres termes, on considère que la condition de l' art. 16 al. 1 OLCP est remplie si les moyens financiers d'un citoyen suisse, dans la même situation, lui fermeraient l'accès à l'aide sociale (directives de l'Office fédéral des migrations sur l'introduction progressive de la libre circulation des personnes, état au 1er juin 2009 [disponibles à l'adresse &lt;http://www.bfm.admin.ch/bfm/fr/home/dokumentation/rechtsgrund lagen/weisungen_und_kreisschreiben/weisungen_und_rundschreiben.html&gt; (consulté le 8 mars 2010)], chiffre 8.2.3; cf. aussi ATF 135 II 265 consid. 3.3 p. 269).</w:t>
      </w:r>
    </w:p>
    <w:p>
      <w:r>
        <w:rPr>
          <w:b/>
        </w:rPr>
        <w:t>E. 3</w:t>
      </w:r>
    </w:p>
    <w:p>
      <w:r>
        <w:t>Le droit conventionnel est muet sur la problématique de l'appréciation des preuves, respectivement des obligations procédurales incombant aux parties dans le cadre de la procédure relative à l'octroi de l'autorisation. Sur ces questions, c'est le droit cantonal qui se révèle déterminant. Dans le canton de Vaud, la matière relève de la loi du 28 octobre 2008 sur la procédure administrative (LPA/VD; RS/VD 173.36). L' art. 30 al. 1 LPA /VD énonce la règle selon laquelle les parties sont tenues de collaborer à la constatation des faits dont elles entendent déduire des droits. Lorsqu'elles refusent de prêter le concours qu'on peut attendre d'elles à l'établissement des faits, l'autorité peut statuer en l'état du dossier ( art. 30 al. 2 LPA /VD).</w:t>
      </w:r>
    </w:p>
    <w:p>
      <w:r>
        <w:rPr>
          <w:b/>
        </w:rPr>
        <w:t>E. 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 ATF 133 II 249 consid. 1.2.2 p. 252, 384 consid. 4.2.2 p. 391), doit démontrer par une argumentation précise en quoi consiste la violation.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arrêt 8C_15/2009 du 11 janvier 2010 consid. 3.2). Il appartient au recourant de démontrer précisément, pour chaque constatation de fait incriminée, comment les preuves administrées auraient dû, selon lui, être correctement appréciées et en quoi leur appréciation par l'autorité cantonale est insoutenable. De surcroît, le recourant doit démontrer que la violation qu'il invoque est susceptible d'influer sur le sort de la cause (art. 97 al. 1 in fine LTF). Il doit rendre vraisemblable que la décision finale aurait été différente si les faits avaient été établis de manière conforme au droit. Le Tribunal de céans n'entre pas en matière sur des critiques de type appellatoire ( ATF 135 III 397 consid. 1.4 p. 400, 133 II 249 consid. 1.4 p. 254/255; 133 IV 286 consid. 6.2 p. 288). Par ailleurs, aucun fait nouveau ni preuve nouvelle ne peut être présenté à moins de résulter de la décision de l'autorité précédente ( art. 99 al. 1 LTF ).</w:t>
      </w:r>
    </w:p>
    <w:p>
      <w:r>
        <w:rPr>
          <w:b/>
        </w:rPr>
        <w:t>E. 5</w:t>
      </w:r>
    </w:p>
    <w:p>
      <w:r>
        <w:t>En l'espèce, le Tribunal cantonal a fondé son jugement sur les documents pour le moins confus, dont certains n'étaient plus d'actualité, remis par le recourant. Ce dernier a été mis en position, à de multiples reprises, de compléter le dossier de la cause et de fournir les explications attendues tout d'abord par les autorités administratives puis par le Tribunal cantonal. Persistant à estimer que les pièces fournies étaient suffisantes, sans fournir les explications et moyens de preuve susceptibles d'établir, d'une part, qu'il avait bel et bien un lieu de résidence en Suisse et, d'autre part, qu'il disposait des moyens permettant d'assurer son entretien courant en Suisse pendant la période minimale de cinq ans, le recourant a manqué, selon le Tribunal cantonal, à son obligation de prêter le concours qu'on pouvait attendre de lui à l'établissement des faits. Le recourant s'en plaint de manière purement appellatoire sans démontrer en quoi, d'une part, le Tribunal cantonal aurait fait une fausse application de l' art. 30 al. 2 LPA /VD ni, d'autre part et surtout, en quoi le résultat de l'appréciation des preuves à laquelle a procédé l'autorité précédente se révélerait arbitraire. En effet, le recourant n'a nullement démontré que les quelques documents produits auraient dû conduire le Tribunal cantonal à admettre qu'il n'aurait pas droit, en Suisse, aux prestations sociales, de sorte que la condition de l' art. 16 al. 1 OLCP serait remplie. Enfin, le fait qu'il se soit inscrit au chômage ne plaidait évidemment pas dans le sens de l'octroi d'un statut de résident CE/AELE sans activité lucrative.</w:t>
      </w:r>
    </w:p>
    <w:p>
      <w:r>
        <w:rPr>
          <w:b/>
        </w:rPr>
        <w:t>E. 6</w:t>
      </w:r>
    </w:p>
    <w:p>
      <w:r>
        <w:t>Dès lors que le Tribunal fédéral est lié par les faits arrêtés par la dernière instance cantonale ( art. 97 al. 1 LTF ), c'est en vain que le recourant tente, à ce stade de la procédure, de faire valoir des revenus très importants, correspondant à une fortune non moins imposante. Il s'agit en effet de faits nouveaux irrecevables (cf. art. 99 al. 1 LTF et ci-dessus consid. 4).</w:t>
      </w:r>
    </w:p>
    <w:p>
      <w:r>
        <w:rPr>
          <w:b/>
        </w:rPr>
        <w:t>E. 7</w:t>
      </w:r>
    </w:p>
    <w:p>
      <w:r>
        <w:t>Au vu de ce qui précède, le recours doit être rejeté dans la faible mesure de sa recevabilité.</w:t>
      </w:r>
    </w:p>
    <w:p>
      <w:r>
        <w:t>Succombant, le recourant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