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2C_690/2020 vom 3. November 2020</w:t>
      </w:r>
    </w:p>
    <w:p>
      <w:r>
        <w:t>Bundesgericht, 2020-11-03, DE</w:t>
      </w:r>
    </w:p>
    <w:p>
      <w:r>
        <w:rPr>
          <w:b/>
        </w:rPr>
        <w:t xml:space="preserve">Quelle: </w:t>
      </w:r>
      <w:r>
        <w:t>https://mcp.opencaselaw.ch/entscheid/bger_2C_690_2020</w:t>
      </w:r>
    </w:p>
    <w:p>
      <w:r>
        <w:t>FR: TF 2C_690/2020 du 3 novembre 2020</w:t>
      </w:r>
    </w:p>
    <w:p>
      <w:r>
        <w:t>IT: TF 2C_690/2020 del 3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Für die Neuverteilung der Jagdpacht im Revier Pratteln für die Periode 2016-2024 bewarben sich der bisherige Pächter, der A.________, sowie die B.________. Die Einwohnergemeinde Pratteln vergab am 28. September 2016 die Jagdpacht an die B.________. Mit Entscheid vom 14. März 2017 wies der Regierungsrat die Beschwerde des A.________ hiergegen ab. Das Kantonsgericht, Abteilung Verfassungs- und Verwaltungsrecht, des Kantons Basel-Landschaft hiess am 13. Dezember 2017 die Beschwerden des A.________ und der Einwohnergemeinde Pratteln gut und hob den Beschluss des Regierungsrats vom 14. März 2017 auf; es wies die Angelegenheit zu neuem Entscheid im Sinne der Erwägungen an die Einwohnergemeinde Pratteln zurück. Am 19./20. Februar 2019 vergab die Einwohnergemeinde Pratteln die Jagdpacht erneut an die B.________. Die kantonalen Rechtsmittel hiergegen blieben ohne Erfolg. Der A.________ beantragt vor Bundesgericht unter anderem, das Urteil des Kantonsgerichts Basel-Landschaft aufzuheben und die Pacht für die Jagd vom 1. April 2016 bis zum 31. März 2024 an ihn zu vergeben.</w:t>
      </w:r>
    </w:p>
    <w:p>
      <w:r>
        <w:rPr>
          <w:b/>
        </w:rPr>
        <w:t>E. 2.1</w:t>
      </w:r>
    </w:p>
    <w:p>
      <w:r>
        <w:t>Am 6. Oktober 2020 wurde dem Beschwerdeführer eine Frist bis zum 19. Oktober 2020 angesetzt, um für das bundesgerichtliche Verfahren einen Kostenvorschuss von Fr. 2'000.-- zu leisten; eine entsprechende Zahlung erfolgte nicht. Am 28. Oktober 2020 teilte der A.________ dem Bundesgericht mit, dass er die Eingabe "ab sofort" zurückziehe.</w:t>
      </w:r>
    </w:p>
    <w:p>
      <w:r>
        <w:rPr>
          <w:b/>
        </w:rPr>
        <w:t>E. 2.2</w:t>
      </w:r>
    </w:p>
    <w:p>
      <w:r>
        <w:t>Nach Art. 32 Abs. 2 des Bundesgerichtsgesetzes (BGG; SR 173.110) entscheidet der Instruktionsrichter (hier der Präsident der II. öffentlich-rechtlichen Abteilung [vgl. Art. 32 Abs. 1 BGG ]) als Einzelrichter über die Abschreibung von Verfahren infolge Rückzugs. Er befindet dabei auch über die Gerichtskosten und Parteientschädigungen ( Art. 5 Abs. 2 BZP [SR 273] in Verbindung mit Art. 71 BGG ) : Der Beschwerdeführer, der seine Eingabe zurückgezogen und damit das Dahinfallen des Verfahrens verursacht hat, muss für die bisher entstandenen bundesgerichtlichen Kosten aufkommen ( Art. 66 Abs. 3 BGG ). Es sind indessen keine Parteientschädigungen geschuldet (vgl. Art. 68 Abs. 3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