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690/2013 vom 24. Januar 2014</w:t>
      </w:r>
    </w:p>
    <w:p>
      <w:r>
        <w:t>Bundesgericht, 2014-01-24, IT</w:t>
      </w:r>
    </w:p>
    <w:p>
      <w:r>
        <w:rPr>
          <w:b/>
        </w:rPr>
        <w:t xml:space="preserve">Quelle: </w:t>
      </w:r>
      <w:r>
        <w:t>https://mcp.opencaselaw.ch/entscheid/bger_2C_690_2013</w:t>
      </w:r>
    </w:p>
    <w:p>
      <w:r>
        <w:t>FR: TF 2C 690/2013 du 24 janvier 2014</w:t>
      </w:r>
    </w:p>
    <w:p>
      <w:r>
        <w:t>IT: TF 2C 690/2013 del 24 gennaio 2014</w:t>
      </w:r>
    </w:p>
    <w:p>
      <w:pPr>
        <w:pStyle w:val="Heading2"/>
      </w:pPr>
      <w:r>
        <w:t>Regeste</w:t>
      </w:r>
    </w:p>
    <w:p>
      <w:r>
        <w:t>Abilitazione ad esercitare la funzione di perito revisore | Diritto fondamentale</w:t>
      </w:r>
    </w:p>
    <w:p>
      <w:pPr>
        <w:pStyle w:val="Heading2"/>
      </w:pPr>
      <w:r>
        <w:t>Erwägungen</w:t>
      </w:r>
    </w:p>
    <w:p>
      <w:r>
        <w:rPr>
          <w:b/>
        </w:rPr>
        <w:t>E. 1</w:t>
      </w:r>
    </w:p>
    <w:p>
      <w:r>
        <w:t>Diretto contro una decisione finale del Tribunale amministrativo federale ( art. 86 cpv. 1 lett. a e 90 LTF ), il ricorso concerne una causa di diritto pubblico ( art. 82 lett. a LTF ) che non ricade sotto nessuna delle eccezioni previste dall' art. 83 LTF . Non vertendo la decisione impugnata sulla valutazione di capacità di A.________, bensì sul fatto che la stessa goda o meno di una buona reputazione, l'art. 83 lett. t LTF non trova in effetti applicazione (sentenze 2C_709/2012 del 20 giugno 2013 consid. 1.1; 2C_1182/2012 del 29 maggio 2013 consid. 1.1 con ulteriori rinvii). Presentato in tempo utile (art. 46 cpv. 1 lett. b in relazione con l' art. 100 cpv. 1 LTF ), facendo valere un interesse all'annullamento del giudizio querelato ( art. 89 cpv. 1 LTF ), il ricorso è pertanto di massima ammissibile quale ricorso ordinario ex art. 82 segg. LTF.</w:t>
      </w:r>
    </w:p>
    <w:p>
      <w:r>
        <w:rPr>
          <w:b/>
        </w:rPr>
        <w:t>E. 2.1</w:t>
      </w:r>
    </w:p>
    <w:p>
      <w:r>
        <w:t>Il Tribunale federale applica d'ufficio il diritto federale ( art. 106 cpv. 1 LTF ); nondimeno, tenuto conto dell'onere di allegazione e motivazione posto dalla legge ( art. 42 cpv. 1 e 2 LTF ), si confronta di regola unicamente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 A meno che non ne dia motivo la decisione impugnata, condizione il cui adempimento dev'essere dimostrato dal ricorrente, il Tribunale federale non tiene inoltre conto di fatti o mezzi di prova nuovi, i quali non possono in ogni caso essere posteriori al giudizio impugnato ( art. 99 cpv. 1 LTF ; DTF 133 IV 343 consid. 2.1 pag. 343 seg.).</w:t>
      </w:r>
    </w:p>
    <w:p>
      <w:r>
        <w:rPr>
          <w:b/>
        </w:rPr>
        <w:t>E. 2.3</w:t>
      </w:r>
    </w:p>
    <w:p>
      <w:r>
        <w:t>Visto che davanti al Tribunale federale possono essere addotti nuovi fatti e nuovi mezzi di prova soltanto se ne dà motivo la decisione impugnata, aspetto che competeva all'insorgente dimostrare (sentenza 2C_959/2010 del 24 maggio 2011 consid. 4 con ulteriori rinvii), i documenti prodotti in questa sede con il ricorso (doc. S e T) non possono essere considerati e devono essere estromessi dall'incarto.</w:t>
      </w:r>
    </w:p>
    <w:p>
      <w:r>
        <w:rPr>
          <w:b/>
        </w:rPr>
        <w:t>E. 3.1</w:t>
      </w:r>
    </w:p>
    <w:p>
      <w:r>
        <w:t>Nell'impugnativa viene innanzitutto lamentato il fatto che, in contrasto con gli art. 21 e 23 della legge sul Tribunale amministrativo federale del 17 giugno 2005 (LTAF, RS 173.32), il giudizio impugnato non sarebbe stato reso nella composizione ordinaria di tre giudici, ma da un giudice unico. La ricorrente giunge a tale conclusione in quanto la firma del Giudice H.________ in calce alla sentenza è sovrastata dalla dicitura "il giudice unico". Esclude nel contempo l'errore, poiché - nonostante nel rubrum venga indicata una composizione di tre giudici - non ritiene verosimile che il Giudice H.________ possa avere apposto la propria firma sotto tale dicitura senza rendersi conto che era sbagliata.</w:t>
      </w:r>
    </w:p>
    <w:p>
      <w:r>
        <w:rPr>
          <w:b/>
        </w:rPr>
        <w:t>E. 3.2</w:t>
      </w:r>
    </w:p>
    <w:p>
      <w:r>
        <w:t>Producendo davanti al Tribunale federale il foglio di circolazione sottoscritto da tutti i Giudici elencati nel rubrum, l'autorità di ricorso ha tuttavia dimostrato che l'indicazione riportata sopra la firma del giudice presidente era effettivamente il frutto di una svista e che la decisione impugnata è quindi stata presa nella composizione corretta. Considerato che l'errore non risulta comunque avere avuto nessun influsso sul dispositivo del giudizio impugnato o sul contenuto della sua motivazione, lo stesso non comporta affatto l'annullamento della decisione impugnata, bensì la sua semplice correzione, a norma dell' art. 105 cpv. 2 LTF (sentenze 2C_182/2013 del 25 settembre 2013 consid. 3 e 2C_795/2010 del 1° marzo 2011 consid. 2 con ulteriori rinvii a giurisprudenza e dottrina). La critica formale sollevata in limine così come la richiesta di rinviare l'incarto al Tribunale amministrativo federale per nuova decisione a opera di una corte competente non possono pertanto essere accolte.</w:t>
      </w:r>
    </w:p>
    <w:p>
      <w:r>
        <w:rPr>
          <w:b/>
        </w:rPr>
        <w:t>E. 4.1</w:t>
      </w:r>
    </w:p>
    <w:p>
      <w:r>
        <w:t>Nei considerandi in diritto dell'impugnata sentenza, cui può essere rinviato a titolo completivo, i Giudici aditi hanno compiutamente illustrato le condizioni alle quali la legge federale del 16 dicembre 2005 sull'abilitazione e la sorveglianza dei revisori (legge sui revisori, LSR; RS 221.302) e l'ordinanza federale del 22 agosto 2007 ad essa relativa (Ordinanza sui revisori, OSRev; RS 221.302. 3) sottopongono l'abilitazione dei periti revisori ( art. 4 LSR ) e dei revisori ( art. 5 LSR ).</w:t>
      </w:r>
    </w:p>
    <w:p>
      <w:r>
        <w:rPr>
          <w:b/>
        </w:rPr>
        <w:t>E. 4.1.1</w:t>
      </w:r>
    </w:p>
    <w:p>
      <w:r>
        <w:t>In questo contesto, osservato come in entrambi i casi è necessario che il richiedente goda di buona reputazione (unbescholtener Leumund; réputation irréprochable; art. 4 cpv. 1 OSRev ), hanno ricordato in primo luogo che - al di là degli esempi forniti dall' art. 4 cpv. 2 OSREv (presa in considerazione di condanne penali e attestati di carenza beni) - detta nozione giuridica ha carattere indeterminato e necessita pertanto di essere interpretata, tenendo conto dei compiti specifici dell'organo di revisione (sentenze 2C_1182/2012 del 29 maggio 2013 consid. 3.2; 2C_927/2011 dell'8 maggio 2012 consid. 3.2.1; 2C_505/2010 del 7 aprile 2011 consid. 4.2 e 2C_834/2010 dell'11 marzo 2011 consid. 3.2).</w:t>
      </w:r>
    </w:p>
    <w:p>
      <w:r>
        <w:rPr>
          <w:b/>
        </w:rPr>
        <w:t>E. 4.1.2</w:t>
      </w:r>
    </w:p>
    <w:p>
      <w:r>
        <w:t>Sempre a ragione, hanno in seguito sottolineato che chi verifica la buona reputazione di colui che richiede l'abilitazione deve prestare particolare attenzione all'integrità, alla rettitudine, all'onestà, alla diligenza, al comportamento corretto in affari, nonché al rispetto dell'ordine giuridico: a partire dalle disposizioni che regolano l''attività dell'organo di revisione e ne prescrivono la sua indipendenza (sentenze 2C_709/2012 del 20 giugno 2013 consid. 4.1 segg.; 2C_1182/2012 del 29 maggio 2013 consid. 3.2; 2C_505/2010 del 7 aprile 2011 consid. 4.4. e 2C_834/2010 dell'11 marzo 2011 consid. 3.2).</w:t>
      </w:r>
    </w:p>
    <w:p>
      <w:r>
        <w:rPr>
          <w:b/>
        </w:rPr>
        <w:t>E. 4.1.3</w:t>
      </w:r>
    </w:p>
    <w:p>
      <w:r>
        <w:t>Hanno infine attirato l'attenzione sul fatto che, nell'esame delle condizioni per ammettere la buona reputazione, l'autorità di sorveglianza dispone di un ampio potere di apprezzamento, cui viene tuttavia posto limite dalla necessità del rispetto del principio della proporzionalità (sentenze 2C_927/2011 dell'8 maggio 2012 consid. 3.3 e 2C_834/2010 dell'11 marzo 2011 consid. 6.2).</w:t>
      </w:r>
    </w:p>
    <w:p>
      <w:r>
        <w:rPr>
          <w:b/>
        </w:rPr>
        <w:t>E. 4.2</w:t>
      </w:r>
    </w:p>
    <w:p>
      <w:r>
        <w:t>Esposto il quadro legale vigente e la giurisprudenza ad esso relativa, i Giudici federali di prima istanza sono quindi giunti alla conclusione che la decisione presa dall'Autorità federale di sorveglianza dei revisori - dopo aver riscontrato la violazione del divieto di autoverifica e del divieto di partecipare a revisioni in caso di relazioni strette con persone che esercitano funzioni decisionali in seno alla società sottoposta alla revisione - dovesse essere tutelata. Nel giudizio impugnato, anch'essi hanno in effetti constatato come: la ricorrente avesse partecipato alla revisione dei conti 2009 della B.________SA, pur avendo prestato servizi di contabilità e di controlling per la medesima società; tra la seconda metà degli anni '90 e il 2011, avesse funto da ufficio di revisione delle ditte C.________SA, D.________SA, E.________SA, F.________SA e G.________SA, di cui I.________ era membro del Consiglio di amministrazione, benché lo stesso ricoprisse contemporaneamente la carica di amministratore unico della J.________SA, società della quale la ricorrente era alle dipendenze dal 1998; negando l'abilitazione richiesta, l'Autorità federale di sorveglianza dei revisori non avesse oltrepassato il potere di apprezzamento conferitole e nemmeno avesse leso il principio di proporzionalità.</w:t>
      </w:r>
    </w:p>
    <w:p>
      <w:r>
        <w:rPr>
          <w:b/>
        </w:rPr>
        <w:t>E. 5</w:t>
      </w:r>
    </w:p>
    <w:p>
      <w:r>
        <w:t>Prendendo posizione sulle conclusioni cui è giunto il Tribunale amministrativo federale, la ricorrente si lamenta in primo luogo dell'apprezzamento di alcuni fatti, da parte di quest'ultimo. Da un lato, basandosi sull'e-mail inviata il 3 maggio 2011 al suo avvocato (doc. S), contesta in effetti che la situazione in relazione alla revisione delle ditte C.________SA e D.________SA sarebbe stata regolarizzata solo dopo avere ricevuto il progetto di decisione dell'Autorità federale di sorveglianza dei revisori; dall'altro, riferendosi al dettaglio delle entrate 2012 (doc. T), sostiene che il Tribunale amministrativo federale avrebbe a torto minimizzato l'impatto finanziario della decisione di diniego dell'abilitazione sull'attività da lei svolta.</w:t>
      </w:r>
    </w:p>
    <w:p>
      <w:r>
        <w:rPr>
          <w:b/>
        </w:rPr>
        <w:t>E. 5.1</w:t>
      </w:r>
    </w:p>
    <w:p>
      <w:r>
        <w:t>Già solo poiché le sue critiche vengono formulate riferendosi a fatti che emergerebbero dai doc. S e T, illecitamente prodotti in questa sede e quindi estromessi dall'incarto, le stesse non possono essere tuttavia condivise.</w:t>
      </w:r>
    </w:p>
    <w:p>
      <w:r>
        <w:rPr>
          <w:b/>
        </w:rPr>
        <w:t>E. 5.2</w:t>
      </w:r>
    </w:p>
    <w:p>
      <w:r>
        <w:t>In via abbondanziale, può essere inoltre rilevato che - per quanto volte a mettere in discussione l'accertamento dei fatti e/o l'apprezzamento delle prove - esse non rispettano comunque l' art. 106 cpv. 2 LTF e sono pertanto inammissibili. In effetti, critiche fondate sulla violazione del divieto d'arbitrio- come appunto sono quella in esame (precedente consid. 2.2) - non possono esaurirsi in considerazioni che forniscono solo una diversa lettura della fattispecie, ma necessitano di una motivazione puntuale, da cui emerga in che misura i giudici di prima istanza non abbiano manifestamente compreso il senso e la portata di un mezzo di prova, abbiano omesso senza seria ragione di tenere conto di un mezzo di prova importante o abbiano proceduto a deduzioni insostenibili ( DTF 136 III 552 consid. 4.2 pag. 560; 134 V 53 consid. 4.3 pag. 62; 129 I 8 consid. 2.1 pag. 9; 127 I 38 consid. 2a pag. 40 seg.).</w:t>
      </w:r>
    </w:p>
    <w:p>
      <w:r>
        <w:rPr>
          <w:b/>
        </w:rPr>
        <w:t>E. 6</w:t>
      </w:r>
    </w:p>
    <w:p>
      <w:r>
        <w:t>Sempre prendendo posizione sulle conclusioni del Tribunale amministrativo federale, la ricorrente si lamenta in secondo luogo dell'eccessivo rigore applicato nei suoi confronti e, in questo contesto, di una violazione del principio della proporzionalità.</w:t>
      </w:r>
    </w:p>
    <w:p>
      <w:r>
        <w:rPr>
          <w:b/>
        </w:rPr>
        <w:t>E. 6.1</w:t>
      </w:r>
    </w:p>
    <w:p>
      <w:r>
        <w:t>L'insorgente antepone alla sua censura un lungo preambolo, con cui non solo riprende la fattispecie, ma procede ad una serie di puntualizzazioni in merito ai fatti alla base delle singole violazioni che le sono state imputate. Visto che pure queste precisazioni vengono formulate come davanti ad un'istanza che riesamina i fatti in modo libero, senza cioè dimostrare in che misura gli accertamenti contenuti nel giudizio impugnato sarebbero manifestamente inesatti o altrimenti lesivi del diritto, le stesse non possono tuttavia essere prese in considerazione ( DTF 134 II 244 consid. 2.2 pag. 246; 133 Il 249 consid. 1.2.2 pag. 252).</w:t>
      </w:r>
    </w:p>
    <w:p>
      <w:r>
        <w:rPr>
          <w:b/>
        </w:rPr>
        <w:t>E. 6.2</w:t>
      </w:r>
    </w:p>
    <w:p>
      <w:r>
        <w:t>Per i motivi che seguono, le vere e proprie critiche di eccessivo rigore che la ricorrente muove contro il diniego del requisito della buona reputazione, devono essere invece considerate infondate.</w:t>
      </w:r>
    </w:p>
    <w:p>
      <w:r>
        <w:rPr>
          <w:b/>
        </w:rPr>
        <w:t>E. 6.2.1</w:t>
      </w:r>
    </w:p>
    <w:p>
      <w:r>
        <w:t>Già è stato ricordato che l'Autorità federale di sorveglianza dei revisori e il Tribunale amministrativo federale hanno giustificato il mancato riconoscimento del necessario requisito della buona reputazione ( art. 4 OSRev ) con la violazione del divieto di autoverifica ( art. 728 cpv. 2 n. 4 CO ) e del divieto di partecipare a revisioni in caso di relazioni strette con persone che esercitano funzioni decisionali in seno alla società sottoposta a revisione ( art. 728 cpv. 2 n. 3 CO ). I fatti alla base di tali infrazioni sono indicati nel giudizio impugnato, sono stati evocati nei considerandi precedenti, e vincolano il Tribunale federale ( art. 105 cpv. 1 LTF ).</w:t>
      </w:r>
    </w:p>
    <w:p>
      <w:r>
        <w:rPr>
          <w:b/>
        </w:rPr>
        <w:t>E. 6.2.2</w:t>
      </w:r>
    </w:p>
    <w:p>
      <w:r>
        <w:t>Anche il tentativo di mettere in evidenza che le violazioni che le vengono imputate sono di natura prettamente formale e non hanno in alcun modo compromesso la qualità di revisione da lei eseguito non giova inoltre alla ricorrente. In effetti, considerata la funzione occupata dall'organo di revisione nel sistema economico attuale, che è in sostanza quella di assicurare l'affidabilità dei conti, la violazione delle disposizioni quali l' art. 728 CO , che ne regolano l'attività e ne prescrivono l'indipendenza, riveste un ruolo centrale (sentenze 2C_709/2012 del 20 giugno 2013 consid. 4.3 e 2C_927/2011 dell'8 maggio 2012 consid. 3; Messaggio del 23 giugno 2004 concernente la modifica del Codice delle obbligazioni [ obbligo di revisione nel diritto societario] e la legge federale sull'abilitazione e la sorveglianza dei revisori, FF 2004 3545 segg., n. 1.1.1 e n. 2.1.3.1 ad art. 728 CO ). Nel contempo, l'incompatibilità con l'esigenza di un'attività di revisione irreprensibile data dalla violazione di quanto prescritto da queste norme non può essere nemmeno mitigata sottolineando la natura formale delle violazioni stesse o dal fatto che le revisioni in discussione siano state svolte dalla ricorrente in maniera ineccepibile poiché - sempre come indicato nell' art. 728 CO - l'indipendenza del giudizio dell'organo di revisione non solo non deve essere compromessa di fatto, ma nemmeno in apparenza: siccome l'indipendenza apparente è anch'essa essenziale al fine di garantire l'affidabilità della contabilità e del controllo svolto (citato messaggio del 23 giugno 2004, n. 2.1.3.1 ad art. 728 CO ).</w:t>
      </w:r>
    </w:p>
    <w:p>
      <w:r>
        <w:rPr>
          <w:b/>
        </w:rPr>
        <w:t>E. 6.2.3</w:t>
      </w:r>
    </w:p>
    <w:p>
      <w:r>
        <w:t>Per quanto infine riguarda l'aspetto della proporzionalità, è vero che la negazione di una reputazione irreprensibile presuppone una certa gravità delle mancanze in questione e che questa gravità deve restare in un rapporto proporzionato con il rifiuto dell'abilitazione (sentenze 2C_709/2012 del 20 giugno 2013 consid. 4.4; 2C_927/2011 dell'8 maggio 2012 consid. 3.3 e 2C_834/2010 dell'11 marzo 2011 consid. 6.2). Anche sotto questo profilo, la decisione impugnata - dettagliata e convincente e alla quale può essere in via di principio rinviato - merita tuttavia conferma. Come detto, parte delle critiche alla ponderazione degli interessi svolta dal Tribunale amministrativo federale si basa su fatti nuovi e - già solo per questo motivo - non può quindi essere considerata pertinente. Tenuto conto delle violazioni riscontrate, pertinente non è d'altro canto né il tentativo di mettere in evidenza l'attività svolta da decenni in modo ineccepibile, né quello di sostenere che la buona reputazione sarebbe di nuovo data, in quanto a dette violazioni è stato posto prontamente rimedio (sentenza 2C_927/2011 dell'8 maggio 2012 consid. 3.5.3). Nel medesimo tempo, con il Tribunale amministrativo federale va non da ultimo sottolineato come: il rifiuto dell'abilitazione, motivato dalle diverse violazioni ricordate, priva certo la ricorrente della possibilità di fornire le prestazioni di revisione descritte dalla legge sui revisori, ma non della facoltà di esercitare altre attività (contabili, di consulenza, di gestione, ecc.) compatibili con la sua formazione ed indicate tra gli scopi iscritti a registro di commercio perseguiti dalla ditta individuale da lei fondata (sentenza 2C_1182/2012 del 29 maggio 2013 consid. 4); la stessa Autorità di sorveglianza dei revisori ha ritenuto presumibile che, decorso un anno dall'entrata in vigore (recte: passaggio in giudicato) della decisione originariamente impugnata, le violazioni rimproverate all'insorgente non costituiranno più un impedimento all'accoglimento di una domanda di abilitazione.</w:t>
      </w:r>
    </w:p>
    <w:p>
      <w:r>
        <w:rPr>
          <w:b/>
        </w:rPr>
        <w:t>E. 7</w:t>
      </w:r>
    </w:p>
    <w:p>
      <w:r>
        <w:t>Nella misura in cui è ammissibile, il ricorso va pertanto respinto, poiché infondato.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