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2C_68/2022 vom 8. Dezember 2022</w:t>
      </w:r>
    </w:p>
    <w:p>
      <w:r>
        <w:t>Bundesgericht, 2022-12-08, FR</w:t>
      </w:r>
    </w:p>
    <w:p>
      <w:r>
        <w:rPr>
          <w:b/>
        </w:rPr>
        <w:t xml:space="preserve">Quelle: </w:t>
      </w:r>
      <w:r>
        <w:t>https://mcp.opencaselaw.ch/entscheid/bger_2C_68_2022</w:t>
      </w:r>
    </w:p>
    <w:p>
      <w:r>
        <w:t>FR: TF 2C_68/2022 du 8 décembre 2022</w:t>
      </w:r>
    </w:p>
    <w:p>
      <w:r>
        <w:t>IT: TF 2C_68/2022 del 8 dicembre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confirmant le refus de porter en déduction plusieurs éléments invoqués par les recourants s'agissant des ICC, pour les périodes fiscales 2010 à 2015. Il s'agit d'une cause de droit public ( art. 82 let. a LTF ). Comme aucune des exceptions prévues à l' art. 83 LTF n'est réalisée, la voie du recours en matière de droit public au sens des art. 82 ss LTF est dès lors ouverte (cf. aussi l'art. 73 al. 1 de la loi fédérale du 14 décembre 1990 sur l'harmonisation des impôts directs des cantons et des communes [LHID; RS 642.14]).</w:t>
      </w:r>
    </w:p>
    <w:p>
      <w:r>
        <w:rPr>
          <w:b/>
        </w:rPr>
        <w:t>E. 1.2</w:t>
      </w:r>
    </w:p>
    <w:p>
      <w:r>
        <w:t>Pour le reste, l'arrêt attaqué est une décision finale ( art. 90 LTF ), rendue en dernière instance cantonale par un tribunal supérieur ( art. 86 al. 1 let . d et al. 2 LTF). Les recourants, qui sont destinataires de l'arrêt attaqué, disposent d'un intérêt digne de protection à la modification de celui-ci. Partant, la qualité pour recourir doit leur être reconnue ( art. 89 al. 1 LTF ). En outre, le recours a été déposé en temps utile ( art. 46 al. 1 let . c et 100 al. 1 LTF) et dans les formes requises ( art. 42 LTF ). Il convient dès lors d'entrer en matière, sous réserve de ce qui suit.</w:t>
      </w:r>
    </w:p>
    <w:p>
      <w:r>
        <w:rPr>
          <w:b/>
        </w:rPr>
        <w:t>E. 1.3</w:t>
      </w:r>
    </w:p>
    <w:p>
      <w:r>
        <w:t>Dans leur mémoire, les recourants formulent des critiques à l'encontre des bordereaux de taxation des 16 mai et 12 novembre 2018 et de la décision sur réclamation du 7 février 2020 de l'Administration fiscale cantonale, ainsi que contre le jugement du 12 avril 2021 du Tribunal administratif de première instance. Il n'en sera pas tenu compte, en raison de l'effet dévolutif complet du recours devant la Cour de justice ( ATF 136 II 539 consid. 1.2).</w:t>
      </w:r>
    </w:p>
    <w:p>
      <w:r>
        <w:rPr>
          <w:b/>
        </w:rPr>
        <w:t>E. 1.4</w:t>
      </w:r>
    </w:p>
    <w:p>
      <w:r>
        <w:t>En outre, dans un grief portant sur une reprise de l'autorité de taxation liée au remboursement d'un montant de 153'192 fr. par une locataire durant l'année 2010, les recourants se contentent de reprendre mot pour mot la même motivation que celle présentée devant l'instance précédente. Il n'y a dès lors pas de lien entre l'arrêt attaqué et les critiques exposées dans le recours de sorte que celles-ci sont inadmissibles sous l'angle de l' art. 42 al. 2 LTF (cf. ATF 145 V 161 consid. 5.2; 134 II 244 consid. 2.3). Il ne sera donc pas entré en matière sur ce grief.</w:t>
      </w:r>
    </w:p>
    <w:p>
      <w:r>
        <w:rPr>
          <w:b/>
        </w:rPr>
        <w:t>E. 2.1</w:t>
      </w:r>
    </w:p>
    <w:p>
      <w:r>
        <w:t>D'après l' art. 106 al. 1 LTF , le Tribunal fédéral applique le droit d'office. En matière fiscale, il examine en principe librement l'application du droit fédéral, ainsi que la conformité du droit cantonal harmonisé et de sa mise en pratique par les instances cantonales aux dispositions de la LHID ( ATF 134 II 207 consid. 2; arrêt 2C_826/2015 du 5 janvier 2017 consid. 2 non publié in ATF 143 I 73 ). Cependant, lorsque la loi précitée laisse une marge de manoeuvre aux cantons, le pouvoir d'examen du Tribunal fédéral se limite à l'arbitraire, dont la violation doit être motivée conformément aux exigences accrues de l' art. 106 al. 2 LTF (cf. ATF 134 II 207 consid. 2; arrêt 2C_434/2021 du 3 mars 2022 consid. 1.3 et les références citées). Ces exigences accrues de motivation s'appliquent également aux griefs de violation des droits fondamentaux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l'espèce, les recourants font valoir que l'arrêt attaqué porterait atteinte au droit d'être entendu garanti par l' art. 29 al. 2 Cst. , sans dire en quoi cette disposition aurait été violée. Leur argumentation ne répond pas aux exigences de motivation qualifiée de l' art. 106 al. 2 LTF . Il n'y a donc pas lieu d'examiner la question plus avant.</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En l'occurrence, dans une partie "Faits" de leur mémoire de recours, ainsi qu'à l'appui de leur raisonnement juridique, les recourants présentent leur propre vision des événements qui diverge de l'état de fait retenu par la Cour de justice. En tant que les faits ainsi allégués ne sont pas constatés dans l'arrêt attaqué, sans que les recourants ne s'en plaignent de manière circonstanciée, il n'en sera pas tenu compte. Seuls les griefs suffisamment motivés en lien avec l'établissement des faits par la Cour de justice seront donc examinés (cf.</w:t>
      </w:r>
    </w:p>
    <w:p>
      <w:r>
        <w:t>infra consid. 4).</w:t>
      </w:r>
    </w:p>
    <w:p>
      <w:r>
        <w:t>II. Grief formel</w:t>
      </w:r>
    </w:p>
    <w:p>
      <w:r>
        <w:rPr>
          <w:b/>
        </w:rPr>
        <w:t>E. 3</w:t>
      </w:r>
    </w:p>
    <w:p>
      <w:r>
        <w:t>Dans un grief formel qu'il convient d'examiner en premier lieu ( ATF 141 V 557 consid. 3), les recourants se plaignent d'une violation du principe de célérité, laquelle justifierait l'annulation des intérêts moratoires et autres intérêts négatifs compensatoires en lien avec les charges fiscales relatives aux périodes fiscales 2010 à 2015.</w:t>
      </w:r>
    </w:p>
    <w:p>
      <w:r>
        <w:rPr>
          <w:b/>
        </w:rPr>
        <w:t>E. 3.1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135 I 265 consid. 4.4; 131 V 407 consid. 1.1; 130 I 312 consid. 5.1).</w:t>
      </w:r>
    </w:p>
    <w:p>
      <w:r>
        <w:rPr>
          <w:b/>
        </w:rPr>
        <w:t>E. 3.2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144 II 486 consid. 3.2; 135 I 265 consid. 4.4; 130 I 312 consid. 5.2).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 ATF 130 I 312 consid. 5.2; arrêts 2C_44/2020 du 3 mars 2022 consid. 12.6.1; 2C_1014/2013 du 22 août 2014 consid. 7.1, non publié in ATF 140 I 271 ).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arrêts 1B_309/2021 du 3 septembre 2021 consid. 4; 2C_227/2016 du 13 février 2017 consid. 3.1; 2C_1014/2013 du 22 août 2014 consid. 7.1, non publié in ATF 140 I 271 et la référence).</w:t>
      </w:r>
    </w:p>
    <w:p>
      <w:r>
        <w:rPr>
          <w:b/>
        </w:rPr>
        <w:t>E. 3.3</w:t>
      </w:r>
    </w:p>
    <w:p>
      <w:r>
        <w:t>En l'occurrence, l'Administration fiscale cantonale a émis les bordereaux litigieux concernant la période fiscale 2010, le 16 mai 2018, et s'agissant des périodes fiscales 2011 à 2015, le 12 novembre 2018. Il s'est donc écoulé près de sept ans entre le dépôt par les recourants de leur déclaration fiscale pour l'année 2010 en août 2011 et la décision de taxation. Les années suivantes ont été taxées dans des délais moins longs. L'arrêt attaqué explique la durée des procédures de taxation par le fait que l'Administration fiscale cantonale devait traiter de manière coordonnée, pour chaque année fiscale, le dossier des recourants avec les dossiers fiscaux des soeurs de la contribuable, C.________ et D.________ (dont les taxations font l'objet des procédures 2C_48/2022 et 2C_66/2022), qui ont également profité de prêts de la société G.________ SA. Quoi qu'il en soit, il n'est pas déterminant en l'espèce de savoir si la complexité du dossier des recourants, liée notamment à sa connexité avec d'autres affaires, justifiait un tel délai pour procéder aux taxations. En effet, il ressort de l'arrêt attaqué que les recourants n'ont relancé l'Administration fiscale cantonale qu'en juillet 2017. Avant cette date, les recourants ne peuvent pas se prévaloir d'une violation du principe de célérité, sous l'angle du principe de la bonne foi, faute d'avoir entrepris des démarches pour que l'autorité traite leur cause avec diligence. L'Administration fiscale cantonale ayant donné suite à la relance des recourants, des échanges de courriels et des entretiens en novembre 2017 et janvier 2018 s'en étant suivi et ayant mené au prononcé des bordereaux litigieux, le Tribunal fédéral ne perçoit pas de violation du principe de célérité.</w:t>
      </w:r>
    </w:p>
    <w:p>
      <w:r>
        <w:rPr>
          <w:b/>
        </w:rPr>
        <w:t>E. 3.4</w:t>
      </w:r>
    </w:p>
    <w:p>
      <w:r>
        <w:t>Partant, ce grief doit être rejeté, sans qu'il y ait lieu d'examiner si, dans le cas contraire, les recourants auraient pu prétendre à une annulation des intérêts moratoires et autres intérêts négatifs compensatoires en lien avec les charges fiscales relatives aux périodes fiscales 2010 à 2015.</w:t>
      </w:r>
    </w:p>
    <w:p>
      <w:r>
        <w:t>III. Grief relatif à l'établissement des faits</w:t>
      </w:r>
    </w:p>
    <w:p>
      <w:r>
        <w:rPr>
          <w:b/>
        </w:rPr>
        <w:t>E. 4</w:t>
      </w:r>
    </w:p>
    <w:p>
      <w:r>
        <w:t>Les recourants invoquent un établissement manifestement inexact des faits et 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En l'occurrence, les recourants considèrent que la Cour de justice a arbitrairement retenu qu'ils n'avaient pas réussi à démontrer que la valeur vénale du parc immobilier détenu par la recourante et sa soeur, C.________, était connue en décembre 2009, lorsque la société G.________ SA leur a octroyé le prêt de 51'950'000 fr. Ce serait donc à tort que l'autorité précédente a examiné sur la base de la valeur comptable des biens immobiliers de la recourante et de sa soeur les circonstances et les conditions dans et auxquelles le prêt a été octroyé. D'après les intéressés, les constatations de la Cour cantonale seraient contredites par les plus-values obtenues lors de ventes de certains biens immobiliers réalisées en 2008, 2010 et 2011, qui prouveraient que la valeur vénale des immeubles est supérieure à leur valeur comptable. Quoi qu'en disent les recourants, ces éléments ne démontrent pas que la valeur vénale du parc immobilier était connue par les parties lors de la conclusion du contrat de prêt en décembre 2009. On ne perçoit donc pas en quoi l'état de fait de l'arrêt attaqué serait arbitraire sur ce point.</w:t>
      </w:r>
    </w:p>
    <w:p>
      <w:r>
        <w:rPr>
          <w:b/>
        </w:rPr>
        <w:t>E. 4.3</w:t>
      </w:r>
    </w:p>
    <w:p>
      <w:r>
        <w:t>Le grief tiré de l'établissement inexact des faits et de l'appréciation arbitraire des preuves doit partant être écarté. Le Tribunal fédéral statuera donc exclusivement sur la base des faits retenus par la Cour de justice.</w:t>
      </w:r>
    </w:p>
    <w:p>
      <w:r>
        <w:t>IV. Objet du litige</w:t>
      </w:r>
    </w:p>
    <w:p>
      <w:r>
        <w:rPr>
          <w:b/>
        </w:rPr>
        <w:t>E. 5</w:t>
      </w:r>
    </w:p>
    <w:p>
      <w:r>
        <w:t>Le litige porte sur les déductions admissibles à titre de passifs et de charges commerciaux pour les périodes fiscales 2010 à 2015 s'agissant des ICC, l'Administration fiscale cantonale ayant renoncé à assujettir les recourants à l'IFD dans la République et canton de Genève. Sont litigieux la déductibilité du prêt accordé par la société G.________ SA, dont le montant a varié entre 51'950'000 fr. et 59'250'000 fr. pendant les années concernées, et des intérêts y relatifs, la déductibilité de la reconnaissance de dette portant sur un montant de 5'000'000 fr. pour les années 2010, 2011 et 2015, respectivement de 5'250'000 fr. pour les années 2012, 2013 et 2014, et des intérêts y relatifs, ainsi que le refus de prendre en compte des frais de liquidation d'une société immobilière à hauteur de 932'287 fr. pour la fixation du coût de revient total des immeubles sis à la route Y.________. Les recourants ne contestent pas que l'Administration fiscale cantonale a valablement suspendu la prescription du droit de procéder aux taxations pour les années litigieuses, de sorte que les décisions de taxations sont intervenues en temps utile (cf. art. 47 al. 1 LHID ).</w:t>
      </w:r>
    </w:p>
    <w:p>
      <w:r>
        <w:t>V. Impôts cantonal et communal</w:t>
      </w:r>
    </w:p>
    <w:p>
      <w:r>
        <w:rPr>
          <w:b/>
        </w:rPr>
        <w:t>E. 6</w:t>
      </w:r>
    </w:p>
    <w:p>
      <w:r>
        <w:t>Les recourants contestent le refus de porter en déduction le prêt de 51'950'000 fr. accordé par la société G.________ SA dans le cadre de l'activité de promotrice immobilière que la recourante exerce avec sa soeur pour le calcul de l'impôt sur la fortune ainsi que le refus de déduire les intérêts dudit prêt pour le calcul de l'impôt sur le revenu.</w:t>
      </w:r>
    </w:p>
    <w:p>
      <w:r>
        <w:rPr>
          <w:b/>
        </w:rPr>
        <w:t>E. 6.1</w:t>
      </w:r>
    </w:p>
    <w:p>
      <w:r>
        <w:t>L'impôt sur la fortune a pour objet l'ensemble de la fortune nette ( art. 13 al. 1 LHID ; art. 46 de la loi genevoise du 27 septembre 2009 sur l'imposition des personnes physiques [LIPP; RSGE D 3 08]). La fortune inclut les éléments composant la fortune commerciale ( art. 47 let .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w:t>
      </w:r>
    </w:p>
    <w:p>
      <w:r>
        <w:t>ère phrase LIPP).</w:t>
      </w:r>
    </w:p>
    <w:p>
      <w:r>
        <w:rPr>
          <w:b/>
        </w:rPr>
        <w:t>E. 6.2</w:t>
      </w:r>
    </w:p>
    <w:p>
      <w:r>
        <w:t>Le revenu net se calcule en défalquant du total des revenus imposables certaines déductions générales et les frais mentionnés par la loi ( art. 9 ss LHID ; art. 28 ss LIPP). Les contribuables exerçant une activité lucrative indépendante peuvent déduire les frais qui sont justifiés par l'usage commercial ou professionnel ( art. 10 al. 1 LHID ; art. 30, 1ère phrase LIPP). Font notamment partie de ces frais, les intérêts des dettes commerciales ( art. 10 al. 1 let . e LHID; art. 30 let . j LIPP).</w:t>
      </w:r>
    </w:p>
    <w:p>
      <w:r>
        <w:rPr>
          <w:b/>
        </w:rPr>
        <w:t>E. 6.3</w:t>
      </w:r>
    </w:p>
    <w:p>
      <w:r>
        <w:t>Il ressort de l'arrêt attaqué que le prêt octroyé par la société G.________ SA constitue une dette commerciale de la recourante. Les intérêts en découlant devraient donc, en principe, être déduits pour déterminer le revenu imposable s'agissant des ICC. En outre, un tel prêt constitue, en règle générale, une dette devant être déduite de la fortune pour déterminer la fortune imposable. La Cour de justice a toutefois refusé de porter en déduction le montant du prêt, respectivement de ses intérêts, retenant que les conditions de l'évasion fiscale étaient réunies.</w:t>
      </w:r>
    </w:p>
    <w:p>
      <w:r>
        <w:rPr>
          <w:b/>
        </w:rPr>
        <w:t>E. 6.4</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 ATF 147 II 338 consid. 3.1; 142 II 399 consid. 4.2; 138 II 239 consid. 4.1 et les références).</w:t>
      </w:r>
    </w:p>
    <w:p>
      <w:r>
        <w:t>Si ces trois conditions sont remplies, l'imposition doit être fondée non pas sur la forme choisie par le contribuable, mais sur la situation qui aurait dû être l'expression appropriée au but économique poursuivi par les intéressés ( ATF 147 II 338 consid. 3.1; 142 II 399 consid. 4.2; 138 II 239 consid. 4.1 et les références).</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w:t>
      </w:r>
    </w:p>
    <w:p>
      <w:r>
        <w:rPr>
          <w:b/>
        </w:rPr>
        <w:t>E. 6.5</w:t>
      </w:r>
    </w:p>
    <w:p>
      <w:r>
        <w:t>En l'espèce, il ressort de l'arrêt attaqué, d'une manière qui lie le Tribunal fédéral ( art. 105 al. 1 LTF ), que, le 29 décembre 2009, la société G.________ SA, société "offshore" détenue par le père et la tante de la recourante, a accordé à cette dernière et à sa soeur un prêt de 51'950'000 fr., destiné à rembourser le prêt dénoncé par H.________ Limited contracté dans le cadre de leur activité de promotrices immobilières. Ce prêt était soumis à des intérêts annuels de 5%, payables semestriellement, et était conclu pour une année, avec reconduction tacite d'année en année sauf avis contraire dans le délai prévu. Selon l'arrêt litigieux, sous ces aspects, le prêt de la société G.________ SA est identique à celui qui l'a précédé, accordé par H.________ Limited. Cependant, le contrat du prêt concédé par la société G.________ SA ne prévoit aucune garantie et ne contient aucune autre disposition, alors que le prêt de H.________ Limited était garanti par la tante de la recourante et était soumis aux conditions générales de la banque auxquelles le contrat renvoyait.</w:t>
      </w:r>
    </w:p>
    <w:p>
      <w:r>
        <w:t>Les conditions de financement de la société G.________ SA diffèrent donc sur des points essentiels des conditions qui prévalaient au moment du financement par H.________ Limited. Comme l'a relevé à juste titre la Cour de justice, il est pour le moins inadapté de ne prévoir aucune garantie et de conclure un contrat aussi concis pour un prêt d'un montant aussi élevé - près de 52'000'000 fr. -, cela d'autant plus dans le contexte de la crise économique qui s'était déclarée en 2008 et qui avait conduit H.________ Limited à résilier le contrat de prêt et au vu des comptes de la société simple des deux soeurs.</w:t>
      </w:r>
    </w:p>
    <w:p>
      <w:r>
        <w:t>En effet, selon les constatations cantonales, le bilan de l'activité de la recourante et de sa soeur au 31 décembre 2009 enregistrait une perte de 1'805'115 fr., qui s'ajoutait aux pertes reportées de 47'731'600.64 fr. Il présentait des fonds propres négatifs de 52'769'996.86 fr. Leurs dettes hypothécaires se montaient à 40'553'450 fr. et le total de leurs dettes à long terme à 103'007'119.40 fr., pour des actifs immobilisés de 47'514'672.60 fr. et des actifs de 50'490'758.54 fr. La Cour de justice a constaté, d'une manière dénuée d'arbitraire (cf.</w:t>
      </w:r>
    </w:p>
    <w:p>
      <w:r>
        <w:t>supra consid. 4), que les recourants n'avaient pas réussi à démontrer que les représentants de la société G.________ SA avaient connaissance de la valeur vénale des biens immobiliers propriété de la recourante et de sa soeur. Ainsi, au moment de conclure le prêt, la société G.________ SA ne connaissait que la valeur comptable des biens. Or, les comptes de la recourante et de sa soeur étaient largement déficitaires. Les recourants soutiennent qu'un organisme de prêt se fonde sur la valeur vénale des biens immobiliers pour établir la capacité d'emprunter d'un débiteur, de sorte que la Cour de justice n'aurait pas dû fonder son raisonnement sur la valeur comptable des immeubles. Ce faisant, les recourants admettent qu'un organisme de prêt n'aurait pas octroyé de financement à la recourante et à sa soeur sans avoir fait évaluer les biens immobiliers au préalable. Ce prêt inusuel - qui a permis aux soeurs de s'endetter de manière très importante et sans immobiliser d'actifs en garantie - n'a donc été possible qu'en raison du fait que la société prêteuse est détenue par leur père et leur tante.</w:t>
      </w:r>
    </w:p>
    <w:p>
      <w:r>
        <w:t>Par ailleurs, il ressort de l'arrêt attaqué que la société G.________ SA a continué, après la conclusion du contrat, de se comporter de manière économiquement inadaptée par rapport au comportement qu'aurait adopté un organisme de prêt tiers, en acceptant de capitaliser les intérêts du prêt à certaines occasions, ce qui a conduit à une augmentation significative de la somme prêtée, celle-ci s'élevant à 59'250'000 fr. à la fin de l'année 2015, alors que le prêt initial en 2009 portait sur 51'950'000 fr.</w:t>
      </w:r>
    </w:p>
    <w:p>
      <w:r>
        <w:t>Partant, c'est à juste titre que la Cour de justice a retenu que la société G.________ SA avait accordé à la recourante et à sa soeur un prêt de faveur dans des circonstances et à des conditions auxquelles un tiers n'aurait jamais accepté d'en octroyer un. Ainsi, la forme juridique choisie par les parties apparaît comme inadaptée au but économique poursuivi, au vu des circonstances particulières du cas d'espèce.</w:t>
      </w:r>
    </w:p>
    <w:p>
      <w:r>
        <w:t>La première condition de l'évasion fiscale est donc réalisée.</w:t>
      </w:r>
    </w:p>
    <w:p>
      <w:r>
        <w:rPr>
          <w:b/>
        </w:rPr>
        <w:t>E. 6.6</w:t>
      </w:r>
    </w:p>
    <w:p>
      <w:r>
        <w:t>Il convient encore d'examiner si la forme juridique choisie par les parties au contrat de prêt avait pour unique but d'économiser des impôts.</w:t>
      </w:r>
    </w:p>
    <w:p>
      <w:r>
        <w:t>Il ressort de l'arrêt attaqué que, pour tenter de justifier ce choix, les recourants ont indiqué que la solution du financement par des proches avait permis d'assurer la pérennité de l'entreprise et le maintien du patrimoine familial, dans un contexte de détérioration économique. Ils ont ainsi admis que, dans les circonstances qui prévalaient en 2009 lors du refinancement, la société G.________ SA, dépourvue de garantie, ne pouvait pas compter avec certitude sur le remboursement du prêt. Cela est confirmé par la capitalisation des intérêts acceptée par la société prêteuse pour un montant supérieur à 7'000'000 fr.</w:t>
      </w:r>
    </w:p>
    <w:p>
      <w:r>
        <w:t>Dans ce contexte, on peut se demander pourquoi le père et la tante de la recourante n'ont pas procédé à des donations en faveur de leur trois filles, respectivement nièces, qui ont toutes bénéficié de prêts de montants supérieurs à 21'000'000 fr. Or, le choix de procéder à un prêt, bien qu'étant inadapté au but économique poursuivi en l'espèce, ne peut avoir comme objectif que d'économiser des impôts. En effet, contrairement à une donation, le prêt est déductible de la fortune imposable et les intérêts du revenu imposable. En outre, les créances résultant du prêt et du revenu découlant du paiement des intérêts ne sont pas taxées en Suisse, la société G.________ SA ayant son siège à l'étranger.</w:t>
      </w:r>
    </w:p>
    <w:p>
      <w:r>
        <w:t>La deuxième condition de l'évasion fiscale est ainsi également réalisée.</w:t>
      </w:r>
    </w:p>
    <w:p>
      <w:r>
        <w:rPr>
          <w:b/>
        </w:rPr>
        <w:t>E. 6.7</w:t>
      </w:r>
    </w:p>
    <w:p>
      <w:r>
        <w:t>Enfin, s'agissant de la dernière condition, on ne saurait nier que l'admission de la déduction de la moitié du prêt concédé à la recourante et à sa soeur par la société G.________ SA, dont le montant a augmenté de 51'950'000 fr. en 2010 à 59'250'000 fr. en 2015, et des intérêts annuels à 5% sur ce montant conduirait à une économie substantielle d'impôt. Ainsi, quoi qu'en disent les recourants, le procédé choisi permettrait effectivement une notable économie d'impôt s'il était accepté par l'autorité fiscale, la situation dans laquelle ils se trouveraient si le prêt avait été concédé par une banque n'étant pas déterminante, puisque précisément la recourante n'a pas opté pour cette voie et n'a d'ailleurs pas établi, à teneur de l'arrêt, qu'une banque aurait été d'accord de reprendre le prêt de H.________ Limited.</w:t>
      </w:r>
    </w:p>
    <w:p>
      <w:r>
        <w:rPr>
          <w:b/>
        </w:rPr>
        <w:t>E. 6.8</w:t>
      </w:r>
    </w:p>
    <w:p>
      <w:r>
        <w:t>Dans ces circonstances, la Cour de justice pouvait retenir que les conditions de l'évasion fiscale étaient réunies et confirmer les reprises d'impôt litigieuses effectuées par l'Administration fiscale cantonale pour les périodes fiscales 2010 à 2015, dont les montants ne sont au demeurant pas contestés par les recourants.</w:t>
      </w:r>
    </w:p>
    <w:p>
      <w:r>
        <w:rPr>
          <w:b/>
        </w:rPr>
        <w:t>E. 6.9</w:t>
      </w:r>
    </w:p>
    <w:p>
      <w:r>
        <w:t>Par ailleurs, le fait que l'Administration fiscale cantonale n'ait pas reconnu un cas d'évasion fiscale s'agissant de l'année 2009 n'est d'aucun secours pour les recourants. En effet, en matière fiscale, en application du principe de l'étanchéité (ou de l'indépendance) des exercices comptables et des périodes fiscales, l'autorité n'est pas liée pour l'avenir par une taxation notifiée pour une période fiscale déterminée ( ATF 147 II 155 consid. 10.5.1).</w:t>
      </w:r>
    </w:p>
    <w:p>
      <w:r>
        <w:rPr>
          <w:b/>
        </w:rPr>
        <w:t>E. 6.10</w:t>
      </w:r>
    </w:p>
    <w:p>
      <w:r>
        <w:t>Au vu de ce qui précède, il n'est pas nécessaire de trancher si le prêt conclu entre la société G.________ SA et la recourante doit être appréhendé comme un prêt simulé, comme l'a retenu le Tribunal administratif de première instance, ou sous l'angle de l'évasion fiscale, comme l'a retenu la Cour de justice. En effet, même s'il n'y avait pas de simulation, le montage juridique mis en place par la recourante relèverait de l'évasion fiscale.</w:t>
      </w:r>
    </w:p>
    <w:p>
      <w:r>
        <w:rPr>
          <w:b/>
        </w:rPr>
        <w:t>E. 7</w:t>
      </w:r>
    </w:p>
    <w:p>
      <w:r>
        <w:t>Les recourants font également valoir que la Cour de justice aurait dû admettre la déductibilité pour les années 2010 à 2015 de la dette de 5'000'000 fr. (5'250'000 fr. certaines années) que la recourante et sa soeur ont contractée envers la société G.________ SA et les intérêts y relatifs.</w:t>
      </w:r>
    </w:p>
    <w:p>
      <w:r>
        <w:rPr>
          <w:b/>
        </w:rPr>
        <w:t>E. 7.1</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 ATF 146 II 6 consid. 4.2 et les références; 144 II 427 consid. 8.3.1; 140 II 248 consid. 3.5; 133 II 153 consid. 4.3). Savoir si un fait est ou non prouvé relève de l'établissement des faits, alors que la répartition du fardeau de la preuve est une question de droit (cf. arrêt 2C_667/2021 du 11 mars 2022 consid. 4.4 et les références citées).</w:t>
      </w:r>
    </w:p>
    <w:p>
      <w:r>
        <w:rPr>
          <w:b/>
        </w:rPr>
        <w:t>E. 7.2</w:t>
      </w:r>
    </w:p>
    <w:p>
      <w:r>
        <w:t>En l'occurrence, la Cour de justice a, à juste titre, retenu qu'il appartenait aux recourants de démontrer de manière crédible l'existence de la dette qu'ils souhaitaient déduire de la fortune imposable (cf.</w:t>
      </w:r>
    </w:p>
    <w:p>
      <w:r>
        <w:t>supra consid. 6.1) et des intérêts y relatifs qui devraient, selon eux, être déduits du revenu imposable (cf.</w:t>
      </w:r>
    </w:p>
    <w:p>
      <w:r>
        <w:t>supra consid. 6.2). Or, elle a retenu, d'une manière qui lie le Tribunal fédéral ( art. 105 al. 1 LTF ), que les allégations des recourants pour justifier l'existence de cette dette n'étaient appuyées par aucune pièce au dossier. Sur la base de ce constat, que les recourants ne contestent pas sous l'angle de l'arbitraire, la Cour de justice était légitimée à considérer que les contribuables n'avaient pas réussi à démontrer l'effectivité de la dette alléguée.</w:t>
      </w:r>
    </w:p>
    <w:p>
      <w:r>
        <w:t>En outre, comme précédemment mentionné, le principe de l'étanchéité des exercices comptables et des périodes fiscales (cf.</w:t>
      </w:r>
    </w:p>
    <w:p>
      <w:r>
        <w:t>supra consid. 6.9) rend dénuée de pertinence l'argumentation des recourants qui se fonde sur les taxations précédant les exercices litigieux.</w:t>
      </w:r>
    </w:p>
    <w:p>
      <w:r>
        <w:t>En conséquence, ce grief doit être rejeté.</w:t>
      </w:r>
    </w:p>
    <w:p>
      <w:r>
        <w:rPr>
          <w:b/>
        </w:rPr>
        <w:t>E. 8</w:t>
      </w:r>
    </w:p>
    <w:p>
      <w:r>
        <w:t>Les recourants se plaignent de ce que la Cour de justice a refusé de déduire les frais de liquidation d'une société immobilière pour un montant de 932'287 fr. pour déterminer les coûts de construction des immeubles sis à la route Y.________. Ce refus a des conséquences sur les plus-values de ventes effectuées entre 2011 et 2013 et sur la valeur des actifs immobilisés pour les années 2010 à 2015.</w:t>
      </w:r>
    </w:p>
    <w:p>
      <w:r>
        <w:rPr>
          <w:b/>
        </w:rPr>
        <w:t>E. 8.1</w:t>
      </w:r>
    </w:p>
    <w:p>
      <w:r>
        <w:t>Les immeubles sont notamment soumis à l'impôt sur la fortune (cf. art. 13 al. 1 LHID ; art. 47 let. a LIPP). La fortune est estimée, en général, à la valeur vénale ( art. 14 al. 1 LHID ; art. 49 al. 2 LIPP). Tout propriétaire qui fait construire un bâtiment nouveau ou qui, par des travaux quelconques, augmente la valeur d'un bâtiment ou d'une propriété, est tenu de faire au département compétent, dans les douze mois qui suivent l'achèvement de la construction ou des travaux, une déclaration indiquant la nature, l'importance et la valeur des modifications ou des nouvelles constructions (art. 51 al. 1 LIPP). Le coût de ces constructions et travaux est intégré à la valeur fiscale (art. 51 al. 2 LIPP).</w:t>
      </w:r>
    </w:p>
    <w:p>
      <w:r>
        <w:rPr>
          <w:b/>
        </w:rPr>
        <w:t>E. 8.2</w:t>
      </w:r>
    </w:p>
    <w:p>
      <w:r>
        <w:t>Sont imposables tous les revenus provenant de l'exploitation d'une entreprise commerciale, industrielle, artisanale, agricole ou sylvicole, et de l'exercice d'une profession libérale ou de toute autre activité lucrative indépendante ( art. 7 al. 1 LHID ; art. 19 al. 1, 1ère phrase LIPP).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 art. 8 al. 1 LHID ; art. 19 al. 2 LIPP).</w:t>
      </w:r>
    </w:p>
    <w:p>
      <w:r>
        <w:rPr>
          <w:b/>
        </w:rPr>
        <w:t>E. 8.3</w:t>
      </w:r>
    </w:p>
    <w:p>
      <w:r>
        <w:t>S'agissant d'un élément diminuant la charge fiscale, la Cour de justice a considéré, à raison, qu'il appartenait aux recourants d'établir par pièces les coûts de construction, et plus particulièrement de la liquidation de la société créée pour la promotion immobilière. Or, il ressort de l'arrêt attaqué que tous les coûts de construction des immeubles sis route Y.________ ont été justifiés par pièces, de sorte qu'ils ont été admis, à l'exception du montant de 932'287 fr., dont la prise en compte aurait diminué la valeur comptable des immeubles pour les exercices 2010 à 2015 et augmenté les plus-values enregistrées lors des ventes immobilières survenues dans ces immeubles en 2011, 2012 et 2013. La Cour de justice a constaté que les recourants n'avaient produit aucune pièce probante établissant des coûts de 932'287 fr. liés à la liquidation de la société immobilière. Cette constatation n'étant pas contestée par les recourants sous l'angle de l'arbitraire devant le Tribunal fédéral, le refus de la Cour de justice d'imputer ce montant sur les coûts de construction doit être confirmé.</w:t>
      </w:r>
    </w:p>
    <w:p>
      <w:r>
        <w:t>Partant, ce grief doit également être rejeté.</w:t>
      </w:r>
    </w:p>
    <w:p>
      <w:r>
        <w:t>VI. Conclusions, frais et dépens</w:t>
      </w:r>
    </w:p>
    <w:p>
      <w:r>
        <w:rPr>
          <w:b/>
        </w:rPr>
        <w:t>E. 9</w:t>
      </w:r>
    </w:p>
    <w:p>
      <w:r>
        <w:t>Sur le vu de ce qui précède, le recours, mal fondé, doit être rejeté, dans la mesure où il est recevable.</w:t>
      </w:r>
    </w:p>
    <w:p>
      <w:r>
        <w:t>Les recourants, qui succombent,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