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2C_689/2008 vom 4. März 2009</w:t>
      </w:r>
    </w:p>
    <w:p>
      <w:r>
        <w:t>Bundesgericht, 2009-03-04, DE</w:t>
      </w:r>
    </w:p>
    <w:p>
      <w:r>
        <w:rPr>
          <w:b/>
        </w:rPr>
        <w:t xml:space="preserve">Quelle: </w:t>
      </w:r>
      <w:r>
        <w:t>https://mcp.opencaselaw.ch/entscheid/bger_2C_689_2008</w:t>
      </w:r>
    </w:p>
    <w:p>
      <w:r>
        <w:t>FR: TF 2C_689/2008 du 4 mars 2009</w:t>
      </w:r>
    </w:p>
    <w:p>
      <w:r>
        <w:t>IT: TF 2C_689/2008 del 4 marzo 2009</w:t>
      </w:r>
    </w:p>
    <w:p>
      <w:pPr>
        <w:pStyle w:val="Heading2"/>
      </w:pPr>
      <w:r>
        <w:t>Erwägungen</w:t>
      </w:r>
    </w:p>
    <w:p>
      <w:r>
        <w:rPr>
          <w:b/>
        </w:rPr>
        <w:t>E. 1</w:t>
      </w:r>
    </w:p>
    <w:p>
      <w:r>
        <w:t>Die Ausweisungsverfügung erging noch vor dem Inkrafttreten des Ausländergesetzes (AuG; SR 142.20) am 1. Januar 2008. In analoger Anwendung von Art. 126 Abs. 1 AuG bleibt daher in materieller Hinsicht das frühere Recht anwendbar.</w:t>
      </w:r>
    </w:p>
    <w:p>
      <w:r>
        <w:rPr>
          <w:b/>
        </w:rPr>
        <w:t>E. 2.1</w:t>
      </w:r>
    </w:p>
    <w:p>
      <w:r>
        <w:t>Gemäss Art. 10 Abs. 1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Gastland geltende Ordnung einzufügen (lit. b).</w:t>
      </w:r>
    </w:p>
    <w:p>
      <w:r>
        <w:t>Die Ausweisung soll jedoch nur ausgesprochen werden, wenn die nach Art. 11 Abs. 3 ANAG gebotene Interessenabwägung diese Massnahme als verhältnismässig erscheinen lässt. Dabei sind namentlich die Schwere seines Verschuldens, die Dauer der Anwesenheit sowie die dem Betroffenen und seiner Familie drohenden Nachteile zu berücksichtigen (vgl. Art. 16 Abs. 3 ANAV [AS 1949 228]).</w:t>
      </w:r>
    </w:p>
    <w:p>
      <w:r>
        <w:rPr>
          <w:b/>
        </w:rPr>
        <w:t>E. 2.2</w:t>
      </w:r>
    </w:p>
    <w:p>
      <w:r>
        <w:t>Der Beschwerdeführer stellt nicht in Abrede, dass die Ausweisungsgründe von Art. 10 Abs. 1 lit. a und b ANAG erfüllt sind; er bestreitet einzig - unter Berufung auf sein Recht auf Achtung des Privatlebens ( Art. 8 EMRK bzw. Art. 13 BV ) - die Verhältnismässigkeit seiner Ausweisung.</w:t>
      </w:r>
    </w:p>
    <w:p>
      <w:r>
        <w:rPr>
          <w:b/>
        </w:rPr>
        <w:t>E. 2.3</w:t>
      </w:r>
    </w:p>
    <w:p>
      <w:r>
        <w:t>Der heute 26-jährige Beschwerdeführer ist im Alter von sieben Jahren in die Schweiz gekommen. Er ist damit kein Ausländer der zweiten Generation, für welchen eine Ausweisung nur unter ganz restriktiven Voraussetzungen zulässig wäre (vgl. dazu BGE 130 II 176 E. 4.4.2 S. 190, mit Hinweisen).</w:t>
      </w:r>
    </w:p>
    <w:p>
      <w:r>
        <w:rPr>
          <w:b/>
        </w:rPr>
        <w:t>E. 2.4</w:t>
      </w:r>
    </w:p>
    <w:p>
      <w:r>
        <w:t>Die Vorinstanz hat im Einklang mit der einschlägigen bundesgerichtlichen Rechtsprechung und unter Berücksichtigung der massgebenden Gesichtspunkte ausführlich und umfassend begründet, dass der Beschwerdeführer die Voraussetzungen von Art. 10 Abs. 1 lit. a und b ANAG erfüllt und seine gestützt auf diese Bestimmung verfügte Ausweisung auch verhältnismässig ist. Es kann auf diese zutreffenden Ausführungen verwiesen werden. Die Vorinstanz hat die in diesem Zusammenhang erforderliche sorgfältige Interessenabwägung nach zutreffenden Gesichtspunkten und unter haltbarer Wertung und Gewichtung derselben vorgenommen; eine Ermessensüberschreitung ist nicht zu erkennen.</w:t>
      </w:r>
    </w:p>
    <w:p>
      <w:r>
        <w:t>Was der Beschwerdeführer dagegen vorbringt, vermag die von den Vorinstanzen bejahte Verhältnismässigkeit nicht in Frage zu stellen.</w:t>
      </w:r>
    </w:p>
    <w:p>
      <w:r>
        <w:t>Ins Gewicht fällt insbesondere, dass der Beschwerdeführer bei der ersten Verurteilung im Jahre 2003 bereits 20-jährig war. Von sog. typischer Kriminalität im Heranwachsendenalter kann damit im Gegensatz zu den von ihm angeführten Urteilen des Europäischen Gerichtshofes für Menschenrechte i.S. Emre bzw. Maslov, die zu Beginn ihrer kriminellen Karrieren erst 17 bzw. 15 Jahre alt waren, keine Rede sein. Diesen beiden wurden zwar durchwegs mehr schwere Delikte zur Last gelegt. Der Beschwerdeführer hat indessen in einem Alter, in welchem ihm die volle Tragweite seines Handelns bewusst sein musste, seine ehemalige Freundin zu erpressen versucht und ihr gegenüber von Februar bis April 2007 sogar wiederholte Todesdrohungen geäussert. Diese waren für sie nicht nur furchterregend, sondern mussten auch als durchaus ernstgemeint empfunden werden. Die Handlungen zeigen in ihrer Gesamtheit ein Bild monatelanger Terrorisierung seines Opfers. Die Vorinstanz hat diese Umstände zu Recht als besonders gravierend beurteilt (angefochtenes Urteil E. 3b). Dies wird vom Beschwerdeführer denn auch nicht grundsätzlich bestritten.</w:t>
      </w:r>
    </w:p>
    <w:p>
      <w:r>
        <w:t>Entscheidend ist weiter, dass der Beschwerdeführer im Jahre 2007 eine Landsfrau im Kosovo geheiratet hat und diese auch dort lebt. Er ist zudem regelmässig in den Kosovo gereist. So ist er in allen Sommer- und Herbstferien, während der Feiertage und seiner Arbeitslosigkeit dort gewesen. Im Kosovo verfügt er über einen breiten Verwandtenkreis. Mit den Angehörigen seiner Ehefrau verständigt er sich in albanischer Sprache. Die Vorinstanz durfte daher - auch wenn der Beschwerdeführer nun behauptet, über keinerlei schriftliche Kenntnisse seiner Muttersprache zu verfügen - davon ausgehen, dass der Beschwerdeführer mit der Sprache und den Gepflogenheiten in Kosovo bestens vertraut ist. In diesen Umständen liegt auch ein grosser Unterschied zu den Fällen Emre (Schweiz) und Maslov (Österreich): Der psychisch kranke Emrah Emre sprach als türkischer Staatsangehöriger kaum Türkisch; in der Türkei lebte nur noch seine Grossmutter; er reiste nur ein einziges Mal für kurze Zeit in die Türkei. Der drogenabhängige Youri Maslov sprach als bulgarischer Staatsangehöriger nur Deutsch und kein Bulgarisch, da seine Familie in Bulgarien zu einer türkisch sprechenden Minderheit gezählt hatte; zudem lebten alle seine nächsten Angehörigen in Österreich. Diese Umstände zeigen, dass die beiden Fälle mit Blick auf die sozialen, kulturellen und verwandtschaftlichen Bindungen nicht mit demjenigen des Beschwerdeführers verglichen werden können. Der Beschwerdeführer kann aus diesen Urteilen nichts zu seinen Gunsten ableiten.</w:t>
      </w:r>
    </w:p>
    <w:p>
      <w:r>
        <w:rPr>
          <w:b/>
        </w:rPr>
        <w:t>E. 3</w:t>
      </w:r>
    </w:p>
    <w:p>
      <w:r>
        <w:t>Die Beschwerde ist aus diesen Gründen abzuweisen. Die gestellten Rechtsbegehren erweisen sich - auch angesichts der fehlenden Vergleichbarkeit mit den vom Beschwerdeführer angeführten Entscheiden des Gerichtshofes für Menschenrechte, worauf (Fall Emre) schon die Vorinstanz zu Recht hingewiesen hat - als von vornherein aussichtslos, weshalb ihm die unentgeltliche Rechtspflege und Verbeiständung nicht gewährt werden kann ( Art. 64 BGG ).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