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687/2010 vom 4. April 2011</w:t>
      </w:r>
    </w:p>
    <w:p>
      <w:r>
        <w:t>Bundesgericht, 2011-04-04, FR</w:t>
      </w:r>
    </w:p>
    <w:p>
      <w:r>
        <w:rPr>
          <w:b/>
        </w:rPr>
        <w:t xml:space="preserve">Quelle: </w:t>
      </w:r>
      <w:r>
        <w:t>https://mcp.opencaselaw.ch/entscheid/bger_2C_687_2010</w:t>
      </w:r>
    </w:p>
    <w:p>
      <w:r>
        <w:t>FR: TF 2C 687/2010 du 4 avril 2011</w:t>
      </w:r>
    </w:p>
    <w:p>
      <w:r>
        <w:t>IT: TF 2C 687/2010 del 4 aprile 2011</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Les recourants se prévalent de l'art. 47 al. 4 de la loi fédérale du 16 décembre 2005 sur les étrangers (LEtr; RS 142.20), qui, lorsque les conditions sont remplies, confère un droit à demeurer en Suisse. De plus, les faits allégués à l'appui du recours sont potentiellement de nature à conférer le droit à une autorisation de séjour au fils mineur de X.________ (ci-après: la recourante) en vertu de l' art. 8 CEDH (cf. arrêt 2C_575/2010 du 17 janvier 2011 consid. 2). La voie du recours en matière de droit public est dès lors ouverte, étant rappelé que la question de savoir si les conditions auxquelles ces normes subordonnent l'octroi d'une autorisation de police des étrangers sont remplies est une question qui relève du fond ( ATF 136 II 177 consid. 1.1 p. 179).</w:t>
      </w:r>
    </w:p>
    <w:p>
      <w:r>
        <w:rPr>
          <w:b/>
        </w:rPr>
        <w:t>E. 1.2</w:t>
      </w:r>
    </w:p>
    <w:p>
      <w:r>
        <w:t>Au surplus, le recours est dirigé contre un arrêt rendu en dernière instance cantonale par un tribunal supérieur ( art. 86 al. 1 let . d et al. 2 LTF) et a été déposé en temps utile ( art. 100 al. 1 LTF ), ainsi que dans les formes prescrites ( art. 42 LTF ), par le destinataire de l'arrêt attaqué qui a un intérêt digne de protection à son annulation ou à sa modification ( art. 89 al. 1 LTF ). Il est donc recevable en tant que recours en matière de droit public.</w:t>
      </w:r>
    </w:p>
    <w:p>
      <w:r>
        <w:rPr>
          <w:b/>
        </w:rPr>
        <w:t>E. 1.3</w:t>
      </w:r>
    </w:p>
    <w:p>
      <w:r>
        <w:t>Ce recours permet d'invoquer la violation des droits constitutionnels, tel le droit d'être entendu. Le recours constitutionnel subsidiaire est dès lors irrecevable ( art. 113 LTF a contrario).</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Aux termes de cette disposition,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 ATF 136 I 229 consid. 4.1 p. 235; 135 III 670 consid. 1.5 p. 674, 232 consid. 1.2 p. 234). Le Tribunal fédéral fonde son raisonnement juridique sur les faits constatés par l'autorité précédente (cf. art. 105 al. 1 LTF ), à moins que ces faits n'aient été établis de façon manifestement inexacte ou en violation du droit au sens de l' art. 95 LTF (cf. art. 105 al. 2 LTF ). L'état de fait d'une décision est établi en violation du droit au sens de l' art. 95 LTF lorsqu'il l'est en violation d'une règle de procédure ou lorsqu'il est incomplet, c'est-à-dire lorsque l'autorité précédente n'a pas établi les faits nécessaires et pertinents pour permettre au Tribunal fédéral de contrôler si le droit fédéral a été correctement appliqué ( ATF 136 II 65 consid. 1.4 p. 68; 133 IV 293 consid. 3.4.2 p. 295). Lorsqu'un état de fait est lacunaire et qu'ainsi l'application de la loi ne peut pas être contrôlée, la cause doit, en principe, être renvoyée à l'autorité précédente afin que celui-ci soit complété. En effet, en tant qu'autorité judiciaire suprême ( art. 1 al. 1 LTF ), le Tribunal fédéral est un juge du droit, c'est-à-dire qu'il doit vérifier que la décision attaquée applique correctement le droit. Le juge du fond reste principalement compétent pour compléter les faits ( ATF 133 IV 293 consid. 3.4.2 p. 295).</w:t>
      </w:r>
    </w:p>
    <w:p>
      <w:r>
        <w:rPr>
          <w:b/>
        </w:rPr>
        <w:t>E. 3</w:t>
      </w:r>
    </w:p>
    <w:p>
      <w:r>
        <w:t>Eu égard à sa nature formelle, la violation du droit d'être entendu ( art. 29 al. 2 Cst. ) invoquée par les recourants doit être examinée avant les autres griefs.</w:t>
      </w:r>
    </w:p>
    <w:p>
      <w:r>
        <w:rPr>
          <w:b/>
        </w:rPr>
        <w:t>E. 3.1</w:t>
      </w:r>
    </w:p>
    <w:p>
      <w:r>
        <w:t>Ceux-ci soutiennent que, comme ils l'avaient requis, le Tribunal cantonal aurait dû ordonner des mesures probatoires, afin d'établir, notamment, que Y.________ (ci-après: le recourant) allait se retrouver seul dans l'appartement qu'il occupe à Douala. Ses tantes étaient, en effet, décédées, ses cousines avaient déménagé et son oncle était sur le point de faire de même, à la suite de son mariage avec une ressortissante française qu'il s'apprêtait à rejoindre en Haute-Savoie. A cet effet, les recourants demandaient une enquête, par la Légation suisse à Douala, ainsi que l'audition de Y.________ et de son oncle C.________.</w:t>
      </w:r>
    </w:p>
    <w:p>
      <w:r>
        <w:rPr>
          <w:b/>
        </w:rPr>
        <w:t>E. 3.2</w:t>
      </w:r>
    </w:p>
    <w:p>
      <w:r>
        <w:t>Contrairement à ce qu'affirment les intéressés, le Tribunal cantonal n'a pas ignoré leur demande relative aux mesures d'instruction. Il a toutefois refusé de convoquer une audience et d'entendre des témoins, s'estimant suffisamment renseigné sur les faits de l'affaire. En ce qui concerne le fait en cause, soit que le recourant serait sur le point de se retrouver seul à Douala, le Tribunal cantonal a jugé qu'il n'était pas pertinent pour l'application du droit, puisqu'il a retenu que "même pour un adolescent de quinze ans vivant pratiquement seul", quitter son pays constituerait un déracinement traumatisant et conduirait à de réelles difficultés d'intégration, pour finir par nier l'existence d'une raison familiale majeure. Il a donc procédé ainsi à une appréciation juridique dont le bien-fondé sera examiné ci-dessous.</w:t>
      </w:r>
    </w:p>
    <w:p>
      <w:r>
        <w:rPr>
          <w:b/>
        </w:rPr>
        <w:t>E. 4.1</w:t>
      </w:r>
    </w:p>
    <w:p>
      <w:r>
        <w:t>Selon l'art. 47 al. 4 LEtr, si la demande de regroupement familial différé n'a pas été présentée dans les délais légaux, le regroupement n'est autorisé que pour des raisons familiales majeures. Les raisons familiales majeures au sens de cette disposition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 47 al. 4 LEtr qu'avec retenue (cf. ch. 6.10.4 p. 14; état au 1er janvier 2011). Le Tribunal fédéral s'est penché récemment sur les conditions applicables au regroupement familial partiel ( ATF 136 II 78 consid. 4.7 p. 85).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 ATF 130 II 1 consid. 2 p. 3; 124 II 361 consid. 3a p. 366).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2A.405/2006 du 18 décembre 2006 et 2A.737/2005 du 19 janvier 2007).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 art. 13 Cst. , art. 8 CEDH ).</w:t>
      </w:r>
    </w:p>
    <w:p>
      <w:r>
        <w:rPr>
          <w:b/>
        </w:rPr>
        <w:t>E. 4.2</w:t>
      </w:r>
    </w:p>
    <w:p>
      <w:r>
        <w:t>En l'espèce, le Tribunal cantonal a retenu que le recourant, qui n'avait vécu avec sa mère que jusqu'à l'âge de trois ans, avait passé toute son existence au Cameroun. Il était un adolescent de quinze ans qui n'était jamais venu en Suisse. Quitter son pays serait, ainsi, susceptible de provoquer un déracinement traumatisant et de conduire à de réelles difficultés d'intégration. Les premiers juges ont rappelé, ensuite, les motifs qui auraient retardé la demande de regroupement familial, soit la maladie psychique dont souffrait le mari de la recourante, qui a conduit au décès de celui-ci, puis la reprise de ses études d'infirmières par la recourante. Ils en ont conclu qu'il n'est pas exclu que des motifs d'ordre économique soient à l'origine de la demande de regroupement. L'arrêt fait encore état de la situation économique de la mère en Suisse. Les faits tels qu'établis dans l'arrêt attaqué ne décrivent que peu la situation du recourant au Cameroun. Cet arrêt se contente de mentionner qu'il y vit "pratiquement seul" sans discuter des changements de circonstances survenus dans les relations familiales de l'enfant. Il n'est ainsi pas possible de déterminer si la condition des raisons familiales majeures au sens de l'art. 47 al. 4 LEtr est remplie. Il convient donc de renvoyer la cause au Tribunal cantonal ( art. 107 al. 2 LTF ) afin qu'il complète les faits à cet égard.</w:t>
      </w:r>
    </w:p>
    <w:p>
      <w:r>
        <w:rPr>
          <w:b/>
        </w:rPr>
        <w:t>E. 5</w:t>
      </w:r>
    </w:p>
    <w:p>
      <w:r>
        <w:t>Compte tenu de ce qui précède, le recours en matière de droit public est admis et l'arrêt du Tribunal cantonal du 2 juillet 2010 est annulé. L'affaire est renvoyée pour complément d'instruction et nouvelle décision audit Tribunal ( art. 107 al. 2 LTF ). Les vices de la décision étant imputables au Tribunal cantonal, il convient de rendre l'arrêt sans frais (art. 66 al. 1 in fine LTF). En revanche, le canton de Vaud doit être condamné à verser des dépens aux recourants. Cette indemnité étant censée couvrir les honoraires de l'avocat de ceux-ci, la demande d'assistance judiciaire est sans objet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