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685/2022 vom 16. September 2022</w:t>
      </w:r>
    </w:p>
    <w:p>
      <w:r>
        <w:t>Bundesgericht, 2022-09-16, FR</w:t>
      </w:r>
    </w:p>
    <w:p>
      <w:r>
        <w:rPr>
          <w:b/>
        </w:rPr>
        <w:t xml:space="preserve">Quelle: </w:t>
      </w:r>
      <w:r>
        <w:t>https://mcp.opencaselaw.ch/entscheid/bger_2C_685_2022</w:t>
      </w:r>
    </w:p>
    <w:p>
      <w:r>
        <w:t>FR: TF 2C 685/2022 du 16 septembre 2022</w:t>
      </w:r>
    </w:p>
    <w:p>
      <w:r>
        <w:t>IT: TF 2C 685/2022 del 16 settembre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Par décision finale du 15 janvier 2021 notifiée à A.________, l'Administration fédérale a accordé l'assistance administrative à l'autorité française. A.________ a recouru contre cette décision auprès du Tribunal administratif fédéral. Il a demandé, à titre de mesure provisionnelle, la non-transmission de renseignements à l'autorité française et il a conclu, sur le fond, à l'annulation de la décision finale du 15 janvier 2021 et au renvoi de la cause à l'autorité précédente pour nouvelle décision dans le sens des considérants et réparation de la violation de son droit d'être entendu. Subsidiairement, il a aussi demandé la transmission anonymisée des pièces sur lesquelles l'AFC s'était fondée pour requérir des éclaircissements auprès de l'autorité française et un délai pour compléter son recours. Par arrêt du 18 août 2022, le Tribunal administratif fédéral a rejeté les requêtes préalables et le recours.</w:t>
      </w:r>
    </w:p>
    <w:p>
      <w:r>
        <w:rPr>
          <w:b/>
        </w:rPr>
        <w:t>E. 1.5</w:t>
      </w:r>
    </w:p>
    <w:p>
      <w:r>
        <w:t>A l'encontre de cet arrêt, A.________ forme un recours en matière de droit public au Tribunal fédéral. Il conclut principalement à son annulation et à l'interdiction pour l'Administration fédérale de communiquer des renseignements le concernant à l'autorité française. Subsidiairement, il conclut au renvoi de la cause au Tribunal administratif fédéral pour nouvelle décision, et plus subsidiairement, au renvoi de la cause à l'Administration fédérale pour demander des garanties actuelles et suffisantes quant au respect du principe de spécialité à son égard. Il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2.2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w:t>
      </w:r>
    </w:p>
    <w:p>
      <w:r>
        <w:t>Le recourant fait valoir que la présente cause soulève deux questions juridiques de principe.</w:t>
      </w:r>
    </w:p>
    <w:p>
      <w:r>
        <w:rPr>
          <w:b/>
        </w:rPr>
        <w:t>E. 3.1</w:t>
      </w:r>
    </w:p>
    <w:p>
      <w:r>
        <w:t>D'une part, le recourant se demande si les garanties concernant le principe de spécialité données par l'autorité française en date du 11 juillet 2017 puis confirmées le 2 janvier 2020, soit il y a plus de deux ans et demi, sont toujours valables malgré l'écoulement du temps entre l'engagement et la décision portant sur l'échange d'informations. Selon lui, des paramètres extérieurs pourraient altérer les garanties reçues durant cet intervalle (changements législatifs, modifications de politiques, etc.). La présente cause soulèverait donc la première question juridique de principe consistant à se demander quelle est la durée de validité d'une garantie offerte par un Etat étranger dans le cadre d'une demande d'échange de renseignements. Le recourant ajoute que la réponse à cette question est déterminante non seulement pour les administrés touchés par la demande de l'autorité française du 11 mai 2016, mais également pour toutes les demandes ultérieures d'assistance administrative en matière fiscale avec d'autres pays. Dans les relations internationales, la bonne foi de l'Etat est présumée ( ATF 146 II 150 consid. 7.1). Le respect du principe de spécialité, qui impose à l'Etat requérant de n'utiliser les données reçues qu'à l'égard des personnes et des agissements pour lesquels il les a demandées et pour lesquels elles lui ont été transmises (cf. ATF 147 II 13 consid. 3.4; 146 I 172 consid. 7.1.3), est ainsi un des engagements que doit respecter la France en vertu de l'art. 28 CDI CH-F. En présence d'indices concrets que ce principe risquerait de ne pas être respecté, l'Administration fédérale peut demander des assurances du respect de ce principe ( ATF 147 II 13 consid. 3.7), voire refuser l'assistance. Or, par définition, l'assurance donnée par la France du respect de ses engagements découlant de la CDI CH-FR ne saurait avoir une portée limitée dans le temps. Tant que cette convention s'applique, toutes les parties doivent s'y conformer. La question soulevée par le recourant ne se pose donc pas et ne saurait par conséquent justifier une entrée en matière sous l'angle de la question juridique de principe. Du reste, il convient de souligner que rien n'empêche l'Administration fédérale, même si elle a déjà obtenu une assurance à un moment donné, de renouveler sa demande, voire de refuser l'assistance si elle est en possession de nouveaux éléments l'incitant à douter du respect du principe de spécialité. Il faut toutefois qu'il existe des indices suffisamment importants et concrets en ce sens, et savoir si tel est ou non le cas est une question d'appréciation qui ne relève pas de la question juridique de principe (cf. arrêt 2C_664/2022 du 13 septembre 2022 consid. 3.1).</w:t>
      </w:r>
    </w:p>
    <w:p>
      <w:r>
        <w:rPr>
          <w:b/>
        </w:rPr>
        <w:t>E. 3.2</w:t>
      </w:r>
    </w:p>
    <w:p>
      <w:r>
        <w:t>D'autre part, le recourant estime que ses arguments et sa situation personnelle n'ont pas spécifiquement ou suffisamment été examinés par le Tribunal adminitratif fédéral, de sorte que cette juridiction aurait violé son droit d'accès au juge, garanti par l' art. 29a Cst. Il formule la seconde question juridique de principe suivante: "le Tribunal administratif fédéral peut-il se limiter à appliquer l' ATF 146 II 150 , comme s'il s'agissait d'un arrêt de renvoi, sans véritable examen des griefs soulevés par le recourant et une analyse in concreto ?". La seconde question soulevée porte sur le droit d'accès au juge et ne concerne donc pas l'application des normes spécifiques au domaine de l'assistance administrative internationale en matière fiscale. Elle ne peut donc pas représenter une question juridique de principe au sens de l' art. 84a LTF (cf. supra consid. 2.1; arrêt 2C_928/2021 du 1er décembre 2021 consid. 4.2). Au surplus, le recourant ne démontre pas de manière crédible une violation importante de ses droits fondamentaux qui justifierait une entrée en matière sous l'angle du cas particulièrement important. Il se contente en effet d'alléguer que les circonstances individuelles qu'il invoque mettrait en évidence des problématiques qui n'auraient pas été traitées dans la jurisprudence, sans toutefois étayer ses propos ( art. 42 al. 2 LTF , supra consid. 2.3; cf. dans le même sens les arrêts 2C_297/2022 du 21 avril 2022 consid. 2.2; 2C_232/2022 du 5 avril 2022 consid. 2.2; 2C_1042/2021 du 27 décembre 2021 consid. 2.2).</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puisque l'effet suspensif est prévu à l' art. 103 al. 2 let . d LTF (arrêts 2C_232/2022 du 5 avril 2022 consid. 3; 2C_57/2022 du 24 janvier 2022 consid. 4).</w:t>
      </w:r>
    </w:p>
    <w:p>
      <w:r>
        <w:rPr>
          <w:b/>
        </w:rPr>
        <w:t>E. 5</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