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2C_681/2009 vom 1. März 2010</w:t>
      </w:r>
    </w:p>
    <w:p>
      <w:r>
        <w:t>Bundesgericht, 2010-03-01, DE</w:t>
      </w:r>
    </w:p>
    <w:p>
      <w:r>
        <w:rPr>
          <w:b/>
        </w:rPr>
        <w:t xml:space="preserve">Quelle: </w:t>
      </w:r>
      <w:r>
        <w:t>https://mcp.opencaselaw.ch/entscheid/bger_2C_681_2009</w:t>
      </w:r>
    </w:p>
    <w:p>
      <w:r>
        <w:t>FR: TF 2C_681/2009 du 1 mars 2010</w:t>
      </w:r>
    </w:p>
    <w:p>
      <w:r>
        <w:t>IT: TF 2C_681/2009 del 1 marzo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(Satz 1).</w:t>
      </w:r>
    </w:p>
    <w:p>
      <w:r>
        <w:t>Der Beschwerdeführer lebt zwar von seiner schweizerischen Ehefrau getrennt, die Ehe besteht aber formell weiterhin. Damit hat er grundsätzlich einen Anwesenheitsanspruch gemäss Art. 7 ANAG .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grundsätzlich einzutreten.</w:t>
      </w:r>
    </w:p>
    <w:p>
      <w:r>
        <w:rPr>
          <w:b/>
        </w:rPr>
        <w:t>E. 1.4</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2.1</w:t>
      </w:r>
    </w:p>
    <w:p>
      <w:r>
        <w:t>Gemäss Art. 7 Abs. 1 ANAG (in der Fassung vom 23. März 1990) hat der ausländische Ehegatte eines Schweizer Bürgers - wie erwähnt - Anspruch auf Verlängerung der Aufenthaltsbewilligung.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w:t>
      </w:r>
    </w:p>
    <w:p>
      <w:r>
        <w:rPr>
          <w:b/>
        </w:rPr>
        <w:t>E. 2.2</w:t>
      </w:r>
    </w:p>
    <w:p>
      <w:r>
        <w:t>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1.4).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2.3</w:t>
      </w:r>
    </w:p>
    <w:p>
      <w:r>
        <w:t>Gemäss den Feststellungen der Vorinstanz ist die Ehe des Beschwerdeführers definitiv gescheitert. Hinweise darauf, dass die Feststellungen des Verwaltungsgerichts des Kantons Zürich zum Sachverhalt offensichtlich unrichtig wären, sind nicht ersichtlich und gehen namentlich auch nicht aus den Vorbringen des Beschwerdeführers hervor. Die Ehegatten heirateten am 10. Februar 2006. Spätestens am 1. September 2006 trennten sie sich und am 15. Dezember 2006 zog der Beschwerdeführer in den Kanton Zürich. Zu einer Wiederaufnahme des ehelichen Zusammenlebens kam es seither nicht. Im Übrigen teilte die Ehegattin dem Migrationsdienst des Kantons Bern schon Ende 2006 unmissverständlich mit, dass sie die Ehe mit dem Beschwerdeführer nicht weiter führen wolle. Im November Jahre 2007 erklärte sie auch gegenüber der Sicherheitsdirektion des Kantons Zürich, sie werde die eheliche Gemeinschaft nie wieder aufnehmen. Zudem haben die Ehegatten unbestrittenermassen schon lange keinen Kontakt mehr miteinander. Im März 2009 reichte die Ehegattin, wie längst beabsichtigt, die Scheidungsklage ein. Es bestehen somit gewichtige Hinweise dafür, dass die Ehe nur formell besteht.</w:t>
      </w:r>
    </w:p>
    <w:p>
      <w:r>
        <w:t>Was der Beschwerdeführer dagegen einwendet, vermag diese Würdigung nicht zu erschüttern. Weder die Umstände der Begegnung bzw. der Heirat in Ägypten noch die Gründe, die zum Scheitern der ehelichen Beziehung geführt haben, sind in diesem Zusammenhang von Belang. Dass der Beschwerdeführer Mühe hat, sich mit der Trennung von seiner Ehefrau abzufinden, und deshalb in psychiatrischer Behandlung ist, ändert nichts am seit langem fehlenden Ehewillen der Ehegattin. Inwiefern unter diesen Umständen die von der Ehegattin eingereichte Scheidungsklage nach Meinung des Beschwerdeführers zu einer Annäherung bzw. Versöhnung der Ehegatten führen soll, ist nicht nachvollziehbar. Vielmehr musste auch für den Beschwerdeführer seit einiger Zeit erkennbar sein, dass mit einer Wiederaufnahme des gemeinsamen Haushalts nicht mehr gerechnet werden konnte, umso weniger als die Eheleute nach nur einige Monate dauernder ehelicher Gemeinschaft schon mehrere Jahre getrennt leben und keinen Kontakt pflegen. Konkrete Anhaltspunkte dafür, dass noch berechtigte Hoffnung auf Wiederaufnahme des Ehelebens besteht, macht auch der Beschwerdeführer nicht geltend. Bezeichnenderweise wurde die Beschwerde gegen die Nichtverlängerung der Aufenthaltsbewilligung sodann allein vom Beschwerdeführer erhoben und nicht auch im Namen der Ehefrau, wie dies bei tatsächlichen Anzeichen für eine erneute Annäherung der Ehegatten an sich zu erwarten wäre.</w:t>
      </w:r>
    </w:p>
    <w:p>
      <w:r>
        <w:rPr>
          <w:b/>
        </w:rPr>
        <w:t>E. 2.4</w:t>
      </w:r>
    </w:p>
    <w:p>
      <w:r>
        <w:t>Das Verwaltungsgericht des Kantons Zürich geht in seinem Entscheid von der dargelegten Rechtsprechung zur missbräuchlichen Berufung auf die Ehe aus. Bei gesamthafter Betrachtung aller Indizien musste sich der Schluss aufdrängen, dass keine Aussichten auf Wiederaufnahme einer echten ehelichen Gemeinschaft mehr bestehen und die Ehe definitiv gescheitert ist. Wenn sich der Beschwerdeführer unter den dargelegten Umständen dennoch auf die Ehe beruft, um eine Verlängerung der Aufenthaltsbewilligung zu erwirken, handelt er rechtsmissbräuchlich. Damit verstösst die Verweigerung der beantragten Verlängerung der Aufenthaltsbewilligung nicht gegen Bundesrecht. Weitere Ausführungen dazu erübrigen sich. Es genügt, ergänzend auf die Erwägungen im angefochtenen Entscheid zu verweisen ( Art. 109 Abs. 3 BGG ).</w:t>
      </w:r>
    </w:p>
    <w:p>
      <w:r>
        <w:rPr>
          <w:b/>
        </w:rPr>
        <w:t>E. 3.1</w:t>
      </w:r>
    </w:p>
    <w:p>
      <w:r>
        <w:t>Besteht kein Anwesenheitsanspruch nach Art. 7 ANAG , bedarf es keiner Prüfung, ob dem Beschwerdeführer die Rückreise ins Heimatland zumutbar ist. Auf seine Darlegungen betreffend Integration und Verhalten in der Schweiz sowie angebliche mit der Rückkehr ins Heimatland verbundene wirtschaftliche und soziale Schwierigkeiten ist daher nicht einzugehen. Diese könnten allenfalls bei der Prüfung der Erteilung einer Aufenthaltsbewilligung gestützt auf Art. 4 ANAG , der eine Bewilligung ins freie Ermessen der Behörden stellt, berücksichtigt werden. Diesbezüglich ist jedoch die Beschwerde ans Bundesgericht ausgeschlossen.</w:t>
      </w:r>
    </w:p>
    <w:p>
      <w:r>
        <w:rPr>
          <w:b/>
        </w:rPr>
        <w:t>E. 3.2</w:t>
      </w:r>
    </w:p>
    <w:p>
      <w:r>
        <w:t>Weiter macht der Beschwerdeführer geltend, er sei in Ägypten aufgrund seines christlichen Glaubens bzw. im Zusammenhang mit einem früheren Glaubenswechsel gefährdet. Er verkennt dabei, dass die allfällige Gewährung von Schutz vor Verfolgung im Heimatland nicht Gegenstand des vorliegenden Beschwerdeverfahrens bildet. Auf diese Vorbringen kann daher ebenfalls nicht eingegangen werden.</w:t>
      </w:r>
    </w:p>
    <w:p>
      <w:r>
        <w:rPr>
          <w:b/>
        </w:rPr>
        <w:t>E. 4.1</w:t>
      </w:r>
    </w:p>
    <w:p>
      <w:r>
        <w:t>Die Beschwerde erweist sich somit als offensichtlich unbegründet und ist im vereinfachten Verfahren nach Art. 109 BGG abzuweisen, soweit darauf eingetreten werden kann.</w:t>
      </w:r>
    </w:p>
    <w:p>
      <w:r>
        <w:rPr>
          <w:b/>
        </w:rPr>
        <w:t>E. 4.2</w:t>
      </w:r>
    </w:p>
    <w:p>
      <w:r>
        <w:t>Dem Gesuch des Beschwerdeführers um unentgeltliche Rechtspflege kann wegen Aussichtslosigkeit des Beschwerdebegehrens nicht entsprochen werden ( Art. 64 Abs. 1 BGG ). Der Beschwerdeführer wird somit kostenpflichtig ( Art. 66 BGG ). Bei der Bemessung der Gerichtsgebühr wird indessen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