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680/2011 vom 16. Januar 2012</w:t>
      </w:r>
    </w:p>
    <w:p>
      <w:r>
        <w:t>Bundesgericht, 2012-01-16, DE</w:t>
      </w:r>
    </w:p>
    <w:p>
      <w:r>
        <w:rPr>
          <w:b/>
        </w:rPr>
        <w:t xml:space="preserve">Quelle: </w:t>
      </w:r>
      <w:r>
        <w:t>https://mcp.opencaselaw.ch/entscheid/bger_2C_680_2011</w:t>
      </w:r>
    </w:p>
    <w:p>
      <w:r>
        <w:t>FR: TF 2C 680/2011 du 16 janvier 2012</w:t>
      </w:r>
    </w:p>
    <w:p>
      <w:r>
        <w:t>IT: TF 2C 680/2011 del 16 gennaio 2012</w:t>
      </w:r>
    </w:p>
    <w:p>
      <w:pPr>
        <w:pStyle w:val="Heading2"/>
      </w:pPr>
      <w:r>
        <w:t>Regeste</w:t>
      </w:r>
    </w:p>
    <w:p>
      <w:r>
        <w:t>Direkte Bundessteuer 01.01. - 31.12.2007 | Öffentliche Finanzen &amp; Abgaberecht</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 mit Hinweis).</w:t>
      </w:r>
    </w:p>
    <w:p>
      <w:r>
        <w:rPr>
          <w:b/>
        </w:rPr>
        <w:t>E. 1.2</w:t>
      </w:r>
    </w:p>
    <w:p>
      <w:r>
        <w:t>Bei den angefochtenen Entscheiden handelt es sich um kantonale letztinstanzliche Entscheide über die direkten Steuern des Kantons und des Bundes. Dagegen steht gemäss Art. 82 ff. BGG die Beschwerde in öffentlich-rechtlichen Angelegenheiten an das Bundesgericht offen. Auf die form- und fristgerecht eingereichte Beschwerden der gemäss Art. 89 Abs. 1 BGG legitimierten Beschwerdeführerin ist grundsätzlich einzutreten.</w:t>
      </w:r>
    </w:p>
    <w:p>
      <w:r>
        <w:rPr>
          <w:b/>
        </w:rPr>
        <w:t>E. 1.3</w:t>
      </w:r>
    </w:p>
    <w:p>
      <w:r>
        <w:t>Mit der Beschwerde in öffentlich-rechtlichen Angelegenheiten kann namentlich die Verletzung von Bundesrecht gerügt werden ( Art. 95 BGG ).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 Diesen Begründungsanforderungen genügt die Beschwerdeschrift nur teilweise. Soweit sie nicht erfüllt sind, kann auf die Beschwerde nicht eingetreten werden. I. Direkte Bundessteuer</w:t>
      </w:r>
    </w:p>
    <w:p>
      <w:r>
        <w:rPr>
          <w:b/>
        </w:rPr>
        <w:t>E. 2.1</w:t>
      </w:r>
    </w:p>
    <w:p>
      <w:r>
        <w:t>Der steuerbare Reingewinn der juristischen Personen setzt sich gemäss Art. 58 DBG (SR 642.11) zusammen aus dem Saldo der Erfolgsrechnung unter Berücksichtigung des Saldovortrages des Vorjahres (lit. a), allen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 2C_265/2009 vom 1. September 2009 E. 2.1, in: StR 64, S. 915, 916; je mit Hinweisen). Als geldwerte Leistungen gelten insbesondere Ertragsverzichte zugunsten des Aktionärs oder einer ihm nahe stehenden Person, die bei der Gesellschaft zu einer entsprechenden Kürzung des in der Erfolgsrechnung ausgewiesenen Gewinnes führen. Diese Form der geldwerten Leistung wird irreführend als "Gewinnvorwegnahme" bezeichnet, obwohl handelsrechtlich gar keine Gewinne "vorweggenommen" werden können (Urteil 2C_335/2008 vom 13. Oktober 2008 E. 2.2, in: RtiD 2009 I 492 S. 494). Solche Ertragsverzichte liegen vor, wenn die Gesellschaft auf ihr zustehende Einnahmen ganz oder teilweise zugunsten des Aktionärs oder diesem nahestehenden Personen verzichtet bzw. wenn diese nicht jene Gegenleistung erbringen, welche die Gesellschaft von einem unbeteiligten Dritten fordern würde (Urteil 2C_180/2011, 2C_181/2011 vom 22. September 2011 E. 3.2).</w:t>
      </w:r>
    </w:p>
    <w:p>
      <w:r>
        <w:rPr>
          <w:b/>
        </w:rPr>
        <w:t>E. 2.2</w:t>
      </w:r>
    </w:p>
    <w:p>
      <w:r>
        <w:t>Nach der Vorinstanz wäre der Mietvertrag zwischen der Beschwerdeführerin und ihrer Vermieterin unter unbeteiligten Dritten nicht entschädigungslos aufgehoben worden. Mit dem gewählten Vorgehen sei die Entschädigung für die Aufhebung des Mietvertrags und seiner Zusätze in Form eines überhöhten Kaufpreises für die Aktien der X.________ AG direkt der Alleinaktionärin zugeflossen. Es liege mithin ein Ertragsverzicht im Sinne von Art. 58 Abs. 1 lit. c DBG vor. Dabei stützt sich die Vorinstanz im Wesentlichen auf eine Anfrage der B.________ SA vom 10. Dezember 2007, wo sie vom kantonalen Steueramt die Zusicherung einholte und auch erlangte, den "Verlust" von Fr. 4'010'000.-- aus dem An- und Verkauf der Aktien der Beschwerdeführerin als "Zusatzkosten für den Abschluss eines Mietvertrags" zu aktivieren und über die mutmassliche Mietdauer linear abschreiben zu dürfen. Diese im Namen der B.________ SA erfolgte Anfrage hatte noch der heutige Rechtsvertreter der Beschwerdeführerin für die E.________ AG mitunterzeichnet und dabei die Ausgangslage wie folgt geschildert: "B.________ SA beabsichtigte schon seit geraumer Zeit in Zürich eine Boutique an einer Toplage zu eröffnen. Dabei ist sie auch auf die Räumlichkeiten der A.________strasse aufmerksam geworden, welche damals noch an die X.________ AG vermietet waren. Die Vermieterin dieser Räumlichkeiten, die C.________ AG in Zürich, erklärte sich unter der Voraussetzung bereit, mit B.________ SA einen Mietvertrag einzugehen, dass die X.________ AG ihrerseits von ihrem Vertrag zurücktrete. Die X.________ AG betreibt die Fabrikation und den Vertrieb von Koffern und Lederwaren im gehobenen Preissegment, weshalb die Aufgabe ihres Standortes für sie eine völlige geschäftliche Neupositionierung bedeutet hätte. Aus diesem Grund war sie auch gegen eine Entschädigung nicht bereit, ihren langjährigen Mietvertrag aufzugeben. Hingegen erklärte sich die Aktionärin der X.________ AG bereit, der B.________ SA ihre Aktien zu verkaufen. Obwohl eigentlich nur an den Räumlichkeiten am F.________platz interessiert, war der Kauf der Beteiligungen X.________ aus Sicht der B.________ SA deshalb die einzige Möglichkeit, zu einem Mietvertrag über die Räumlichkeiten an der A.________strasse zu gelangen". Unter dem Titel "wirtschaftliche Betrachtungsweise" wird sodann in der Anfrage ausgeführt: "Tatsächlich ist dieser Verlust jedoch in Kauf genommen worden, um einen Mietvertrag über Räumlichkeiten an der A.________strasse abschliessen zu können. Wirtschaftlich betrachtet stellen diese Kosten damit Zusatzkosten im Zusammenhang mit einem Mietvertrag dar, weshalb sie zu aktivieren und steuerlich über die Laufzeit des Mietvertrags abzuschreiben sind". Daraus leitet die Vorinstanz folgerichtig ab, der auf dem freien Markt erzielbare Verkehrswert der Aktien der Beschwerdeführerin (ohne Verbindung zum Mietverhältnis) habe Fr. 400'000.-- betragen, und der Mehrerlös sei als Entschädigung für die vorzeitige Auflösung des Mietverhältnisses zu qualifizieren. Diese habe aber der Beschwerdeführerin als Mieterin - und nicht ihrer Alleinaktionärin - zugestanden.</w:t>
      </w:r>
    </w:p>
    <w:p>
      <w:r>
        <w:rPr>
          <w:b/>
        </w:rPr>
        <w:t>E. 3</w:t>
      </w:r>
    </w:p>
    <w:p>
      <w:r>
        <w:t>Was die Beschwerdeführerin gegen diese Schlussfolgerungen einwendet, widerspricht den Angaben in der Anfrage an das kantonale Steueramt vom 10. Dezember 2007, die nota bene gerade vom Rechtsvertreter der Beschwerdeführerin stammen, und vermag auch sonst nicht zu überzeugen.</w:t>
      </w:r>
    </w:p>
    <w:p>
      <w:r>
        <w:rPr>
          <w:b/>
        </w:rPr>
        <w:t>E. 3.1</w:t>
      </w:r>
    </w:p>
    <w:p>
      <w:r>
        <w:t>Zunächst behauptet die Beschwerdeführerin, der Kaufpreis von Fr. 4'410'000.-- für ihre Aktien sei unter Berücksichtigung des wertvollen Mietverhältnisses keineswegs überhöht gewesen. Dabei lässt sie ausser Acht, dass es ja gerade darum gegangen ist, dieses wertvolle Mietverhältnis aufzugeben, damit sich neu die B.________ SA in den Räumlichkeiten an der Toplage A.________strasse einmieten konnte. Ohne diesen Mietvertrag als wesentlichen Trumpf sackte der Wert der Beschwerdeführerin und damit ihrer Aktien in der Tat auf rund einen Zehntel zusammen. Dieses Ergebnis wird im Übrigen durch den gleichzeitigen Verkauf der Aktien an einen unabhängigen Dritten für Fr. 400'000.-- bestätigt.</w:t>
      </w:r>
    </w:p>
    <w:p>
      <w:r>
        <w:rPr>
          <w:b/>
        </w:rPr>
        <w:t>E. 3.2</w:t>
      </w:r>
    </w:p>
    <w:p>
      <w:r>
        <w:t>Weiter behauptet die Beschwerdeführerin, bei "Entflechtung" der vertraglichen Beziehungen im Sinne der Vorinstanz hätte die B.________ SA die Entschädigung zweimal entrichten müssen, nämlich ein erstes Mal an die Beschwerdeführerin direkt und ein zweites Mal an deren Aktionärin in Form eines übersetzten Kaufpreises. Auch diese Argumentation verfängt nicht. Denn wäre die Entschädigung direkt an die Beschwerdeführerin gegangen, indem diese auf das Mietverhältnis verzichtet hätte, wäre die B.________ SA an den Aktien nicht mehr interessiert gewesen. Dafür hätte die Aktionärin die Entschädigung - einkommenswirksam - der Gesellschaft entnehmen müssen. Gerade diese wirtschaftliche Doppelbelastung der Entschädigung (Gewinnsteuer bei der Beschwerdeführerin, Einkommenssteuer bei der Alleinaktionärin) hoffte man auf diese Weise vermeiden zu können.</w:t>
      </w:r>
    </w:p>
    <w:p>
      <w:r>
        <w:rPr>
          <w:b/>
        </w:rPr>
        <w:t>E. 3.3</w:t>
      </w:r>
    </w:p>
    <w:p>
      <w:r>
        <w:t>Es mag zwar zutreffen, dass die X.________ AG wegen des schlechten Geschäftsganges in der Vergangenheit und aufgrund des Alters und des Gesundheitszustands der Alleinaktionärin das Mietverhältnis so oder so vorzeitig aufgegeben hätte. Aber wie die B.________ SA in der Anfrage vom 10. Dezember 2007 ausgeführt hatte, wollte sie sich möglichst bald an der Toplage (A.________strasse) etablieren. Nur dank dieser millionenschweren Ablösesumme liess sich die Alleinaktionärin bzw. - formell - die Beschwerdeführerin zu raschem Einlenken überreden.</w:t>
      </w:r>
    </w:p>
    <w:p>
      <w:r>
        <w:rPr>
          <w:b/>
        </w:rPr>
        <w:t>E. 3.4</w:t>
      </w:r>
    </w:p>
    <w:p>
      <w:r>
        <w:t>Zusammenfassend ist an den Schlussfolgerungen der Vorinstanz nichts auszusetzen, zumal nur auf diese Weise die Entschädigung von Fr. 4'010'000.-- bei der leistenden B.________ SA und bei der Beschwerdeführerin korrespondierend behandelt wird. Die Beschwerde betreffend die direkte Bundessteuer ist damit unbegründet und abzuweisen, soweit darauf eingetreten werden kann. II. Staats- und Gemeindesteuern</w:t>
      </w:r>
    </w:p>
    <w:p>
      <w:r>
        <w:rPr>
          <w:b/>
        </w:rPr>
        <w:t>E. 4.1</w:t>
      </w:r>
    </w:p>
    <w:p>
      <w:r>
        <w:t>Der steuerbare Reingewinn der juristischen Personen setzt sich gemäss § 64 des zürcherischen Steuergesetzes vom 8. Juni 1997 (StG; LS 631.1) zusammen aus dem Saldo der Erfolgsrechnung unter Berücksichtigung des Saldovortrages des Vorjahres (1), allen vor Berechnung des Saldos der Erfolgsrechnung ausgeschiedenen Teilen des Geschäftsergebnisses, die nicht zur Deckung von geschäftsmässig begründetem Aufwand verwendet werden (2), sowie der Erfolgsrechnung nicht gutgeschriebenen Erträgen (3). Zum steuerbaren Reingewinn gehören namentlich die offenen und verdeckten Gewinnausschüttungen und geschäftsmässig nicht begründete Zuwendungen an Dritte. Diese Bestimmungen entsprechen mithin Art. 58 Abs. 1 DBG bzw. Art. 24 Abs. 1 StHG . Das zum DBG Festgestellte gilt damit ebenfalls für die kantonalen Steuern.</w:t>
      </w:r>
    </w:p>
    <w:p>
      <w:r>
        <w:rPr>
          <w:b/>
        </w:rPr>
        <w:t>E. 4.2</w:t>
      </w:r>
    </w:p>
    <w:p>
      <w:r>
        <w:t>Die Beschwerde betreffend die Staats- und Gemeindesteuern ist damit ebenso unbegründet und abzuweisen, soweit darauf eingetreten werden kann. III. Kosten und Entschädigung</w:t>
      </w:r>
    </w:p>
    <w:p>
      <w:r>
        <w:rPr>
          <w:b/>
        </w:rPr>
        <w:t>E. 5</w:t>
      </w:r>
    </w:p>
    <w:p>
      <w:r>
        <w:t>Die Kosten des bundesgerichtlichen Verfahrens sind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