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673/2022 vom 13. September 2022</w:t>
      </w:r>
    </w:p>
    <w:p>
      <w:r>
        <w:t>Bundesgericht, 2022-09-13, FR</w:t>
      </w:r>
    </w:p>
    <w:p>
      <w:r>
        <w:rPr>
          <w:b/>
        </w:rPr>
        <w:t xml:space="preserve">Quelle: </w:t>
      </w:r>
      <w:r>
        <w:t>https://mcp.opencaselaw.ch/entscheid/bger_2C_673_2022</w:t>
      </w:r>
    </w:p>
    <w:p>
      <w:r>
        <w:t>FR: TF 2C 673/2022 du 13 septembre 2022</w:t>
      </w:r>
    </w:p>
    <w:p>
      <w:r>
        <w:t>IT: TF 2C 673/2022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31 mai 2020, l'Administration fédérale des contributions a accordé l'assistance administrative que l'autorité fiscale indienne avait requise le 17 janvier 2020 au sujet de B.________, résident fiscal indien. Par arrêt du 27 juillet 2022, le Tribunal administratif fédéral a rejeté le recours que B.________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Contre cet arrêt, A.________, qui se dit conjointe survivante et héritière de B.________, décédé le 1er octobre 2021, forme un recours en matière de droit public au Tribunal fédéral. Sous suite de frais et dépens, elle lui demande préalablement de reconnaître sa qualité d'héritière de feu B.________; subsidiairement de suspendre la présente procédure jusqu'à l'établissement de sa qualité d'héritière. Au fond, elle lui demande d'annuler l'arrêt du 27 juillet 2022 et la décision finale du 31 mai 2020, de déclarer qu'il ne peut être entré en matière sur la demande de renseignements du 17 janvier 2020 respectivement de la rejeter, puis d'ordonner à l'Administration fédérale de détruire le dossier; subsidiairement, d'annuler l'arrêt du 27 juillet 2022 et la décision finale du 31 mai 2020; en tout état, de caviarder certains éléments. Il n'a pas été ordonné d'échange d'écritures.</w:t>
      </w:r>
    </w:p>
    <w:p>
      <w:r>
        <w:rPr>
          <w:b/>
        </w:rPr>
        <w:t>E. 2</w:t>
      </w:r>
    </w:p>
    <w:p>
      <w:r>
        <w:t>Dans le domaine de l'assistance administrative internationale en matière fiscale, les successeurs en droit d'une personne décédée se voient conférer le statut de partie en vertu de l'art.18a de la loi fédérale du 28 septembre 2012 sur l'assistance administrative internationale en matière fiscale (LAAF; RS 651.1). En cas de décès d'une partie, la procédure est en règle générale suspendue de plein droit et, sauf répudiation, la procédure reprise dès que la qualité d'héritier est établie (cf. art. 6 al. 2 et 3 PCF , par renvoi de l' art. 71 LTF ). Dans un arrêt d'irrecevabilité du 16 mai 2019 concernant également une demande d'assistance administrative internationale en matière fiscale, le Tribunal fédéral a renoncé à suspendre la procédure après l'annonce du décès du recourant, qui était déjà intervenu au cours de la procédure devant le Tribunal administratif fédéral, au motif que la prolongation de la durée de la procédure qui en découlerait serait vide de sens au vu de son issue (arrêt 2C_405/2019 du 16 mai 2019 consid. 2). En l'espèce, la recourante a déclaré au Tribunal fédéral que B.________ était décédé au cours de la procédure devant le Tribunal administratif fédéral, qu'elle était sa conjointe survivante et son héritière, mais qu'elle ne s'était pas annoncée comme telle au Tribunal administratif fédéral, les démarches relatives à la succession étant encore en cours en Inde. Au vu de l'issue du recours, il y a lieu de renoncer à suspendre la procédure. Cette solution se justifie d'autant plus que la recourante a expressément demandé à être reconnue comme héritière de feu B.________ et qu'elle n'a requis qu'à titre subsidiaire la suspension de la procédure jusqu'à droit connu sur ce point. Il convient partant de trancher l'affaire en application de l' art. 107 al. 3 LTF ,.</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3.2</w:t>
      </w:r>
    </w:p>
    <w:p>
      <w:r>
        <w:t>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1.2et les références; 139 II 340 consid. 4).</w:t>
      </w:r>
    </w:p>
    <w:p>
      <w:r>
        <w:rPr>
          <w:b/>
        </w:rPr>
        <w:t>E. 3.3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La recourante fait valoir que la présente cause soulève trois questions juridiques de principe.</w:t>
      </w:r>
    </w:p>
    <w:p>
      <w:r>
        <w:rPr>
          <w:b/>
        </w:rPr>
        <w:t>E. 4.1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4.2</w:t>
      </w:r>
    </w:p>
    <w:p>
      <w:r>
        <w:t>La recourante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4.3</w:t>
      </w:r>
    </w:p>
    <w:p>
      <w:r>
        <w:t>Dans sa troisième question, qui se recoupe partiellement avec la deuxième, la recourante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la recourante,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5</w:t>
      </w:r>
    </w:p>
    <w:p>
      <w:r>
        <w:t>A titre subsidiaire, la recourante soutient que la présente cause relève du cas particulièrement important, parce qu'elle soulève des questions fondamentales relatives à la réserve de l'ordre public et au principe de spécialité, qui concerneraient un grand nombre d'affaires similaires en Inde.</w:t>
      </w:r>
    </w:p>
    <w:p>
      <w:r>
        <w:rPr>
          <w:b/>
        </w:rPr>
        <w:t>E. 5.1</w:t>
      </w:r>
    </w:p>
    <w:p>
      <w:r>
        <w:t>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w:t>
      </w:r>
    </w:p>
    <w:p>
      <w:r>
        <w:rPr>
          <w:b/>
        </w:rPr>
        <w:t>E. 5.2</w:t>
      </w:r>
    </w:p>
    <w:p>
      <w:r>
        <w:t>La recourante fait d'abord valoir un risque de violation du principe de spécialité et d'application rétroactive d'une disposition de la loi indienne du Black Money Act, qui serait constitutive d'une violation de l'ordre public. En l'occurrence, la recourante reproduit l'art. 72c du Black Money Act qui prévoit, selon la traduction libre qu'elle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w:t>
      </w:r>
    </w:p>
    <w:p>
      <w:r>
        <w:rPr>
          <w:b/>
        </w:rPr>
        <w:t>E. 5.3</w:t>
      </w:r>
    </w:p>
    <w:p>
      <w:r>
        <w:t>La recourante invoque aussi que la transmission de renseignements violerait l'ordre public parce qu'il existe des persécutions politiques à l'encontre de la famille de feu B.________ et à son encontre. Le Tribunal administratif fédéral a constaté que feu B.________ avait des liens familiaux avec un haut dirigeant du parti d'opposition en Inde, mais que son allégation, étayée par des articles de presse, selon laquelle la demande d'assistance administrative aurait été déposée à des fins de persécution politique n'était pas vérifiable, de sorte qu'il n'y avait pas lieu de mettre en doute la bonne foi de l'Etat requérant quant au but poursuivi par la demande d'assistance administrative. Dans son mémoire, la recourante affirme que la transmission de renseignements à l'Inde aurait pour conséquence de contribuer à " l'acharnement des persécutions politiques " à l'encontre de la famille de feu B.________ et d'affaiblir le parti d'opposition en Inde. Elle n'apporte toutefois aucun élément concret qui puisse faire naître un doute sur les réelles intentions de l'Etat requérant dans la présente procédure, à savoir qu'elle serait en réalité motivée non pas par un but fiscal, mais par un but politique.</w:t>
      </w:r>
    </w:p>
    <w:p>
      <w:r>
        <w:rPr>
          <w:b/>
        </w:rPr>
        <w:t>E. 5.4</w:t>
      </w:r>
    </w:p>
    <w:p>
      <w:r>
        <w:t>Ces éléments ne suffisent donc pas à reconnaître l'existence d'un cas particulièrement important au sens de l' art. 84 al. 2 LTF .</w:t>
      </w:r>
    </w:p>
    <w:p>
      <w:r>
        <w:rPr>
          <w:b/>
        </w:rPr>
        <w:t>E. 6</w:t>
      </w:r>
    </w:p>
    <w:p>
      <w:r>
        <w:t>Il résulte de ce qui précède que la demande de suspension de la procédure est rejetée et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7</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