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2C_673/2015 vom 10. Oktober 2017</w:t>
      </w:r>
    </w:p>
    <w:p>
      <w:r>
        <w:t>Bundesgericht, 2017-10-10, FR</w:t>
      </w:r>
    </w:p>
    <w:p>
      <w:r>
        <w:rPr>
          <w:b/>
        </w:rPr>
        <w:t xml:space="preserve">Quelle: </w:t>
      </w:r>
      <w:r>
        <w:t>https://mcp.opencaselaw.ch/entscheid/bger_2C_673_2015</w:t>
      </w:r>
    </w:p>
    <w:p>
      <w:r>
        <w:t>FR: TF 2C_673/2015 du 10 octobre 2017</w:t>
      </w:r>
    </w:p>
    <w:p>
      <w:r>
        <w:t>IT: TF 2C_673/2015 del 10 ottobre 2017</w:t>
      </w:r>
    </w:p>
    <w:p>
      <w:pPr>
        <w:pStyle w:val="Heading2"/>
      </w:pPr>
      <w:r>
        <w:t>Erwägungen</w:t>
      </w:r>
    </w:p>
    <w:p>
      <w:r>
        <w:rPr>
          <w:b/>
        </w:rPr>
        <w:t>E. 1</w:t>
      </w:r>
    </w:p>
    <w:p>
      <w:r>
        <w:t>Déposé dans le délai (cf. art. 100 al. 1 LTF ) et la forme (cf. art. 42 LTF ) prévus par la loi et dirigé contre un jugement final (cf. art. 90 LTF ) rendu par le Tribunal administratif fédéral (cf. art. 86 al. 1 let. a LTF ) dans une cause de droit public (cf. art. 82 let. a LTF ) qui échappe à la clause d'exception de l' art. 83 let. a LTF , la mesure de gel des avoirs litigieuse affectant des droits de caractère civil au sens de l' art. 6 par. 1 CEDH d'une personne privée ( ATF 139 II 384 consid. 2.3 p. 389 s. et les références citées), le présent recours en matière de droit public est recevable.</w:t>
      </w:r>
    </w:p>
    <w:p>
      <w:r>
        <w:rPr>
          <w:b/>
        </w:rPr>
        <w:t>E. 2</w:t>
      </w:r>
    </w:p>
    <w:p>
      <w:r>
        <w:t>Le pouvoir d'examen du Tribunal fédéral</w:t>
      </w:r>
    </w:p>
    <w:p>
      <w:r>
        <w:rPr>
          <w:b/>
        </w:rPr>
        <w:t>E. 2.1</w:t>
      </w:r>
    </w:p>
    <w:p>
      <w:r>
        <w:t>Saisi d'un recours en matière de droit public, le Tribunal fédéral examine librement la violation du droit fédéral (cf. art. 95 let. a et 106 al. 1 LTF ). Le Tribunal fédéral n'examine les moyens tirés de la violation d'un droit constitutionnel que si le grief a été invoqué et motivé de manière précise ( art. 106 al. 2 LTF ). Le Tribunal fédéral statue en principe sur la base des faits établis par l'autorité précédente ( art. 105 al. 1 LTF ), sous réserve des cas prévus à l' art. 105 al. 2 LTF ( ATF 142 I 155 consid. 4.4.3 p. 156 s.).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w:t>
      </w:r>
    </w:p>
    <w:p>
      <w:r>
        <w:rPr>
          <w:b/>
        </w:rPr>
        <w:t>E. 2.2</w:t>
      </w:r>
    </w:p>
    <w:p>
      <w:r>
        <w:t>Par ailleurs, aucun fait nouveau ni preuve nouvelle ne peut être présenté à moins de résulter de la décision de l'autorité précédente ( art. 99 al. 1 LTF ). Les pièces que le recourant a produites à l'appui de son recours sont nouvelles et sont par conséquent irrecevables.</w:t>
      </w:r>
    </w:p>
    <w:p>
      <w:r>
        <w:rPr>
          <w:b/>
        </w:rPr>
        <w:t>E. 2.3</w:t>
      </w:r>
    </w:p>
    <w:p>
      <w:r>
        <w:t>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137 III 226 consid. 4.2 p. 234; 136 III 552 consid. 4.2 p. 560).</w:t>
      </w:r>
    </w:p>
    <w:p>
      <w:r>
        <w:t>Pour démontrer le caractère manifestement inexact d'une constitution de fait,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2C_912/2015 du 20 septembre 2016 consid. 2.3; 2C_649/2015 du 1er avril 2016 consid. 2.1; 2C_694/2015 du 15 février 2016 consid. 2.3 et les références citées).</w:t>
      </w:r>
    </w:p>
    <w:p>
      <w:r>
        <w:rPr>
          <w:b/>
        </w:rPr>
        <w:t>E. 3</w:t>
      </w:r>
    </w:p>
    <w:p>
      <w:r>
        <w:t>Les règles relatives à l'établissement des faits devant le              Tribunal administratif fédéral</w:t>
      </w:r>
    </w:p>
    <w:p>
      <w:r>
        <w:rPr>
          <w:b/>
        </w:rPr>
        <w:t>E. 3.1</w:t>
      </w:r>
    </w:p>
    <w:p>
      <w:r>
        <w:t>Aux termes de l' art. 12 PA - applicable à la procédure devant l'autorité précédente par renvoi de l' art. 37 LTAF -, le Tribunal administratif fédéral constate les faits d'office et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 art. 12 PA .</w:t>
      </w:r>
    </w:p>
    <w:p>
      <w:r>
        <w:rPr>
          <w:b/>
        </w:rPr>
        <w:t>E. 3.2</w:t>
      </w:r>
    </w:p>
    <w:p>
      <w:r>
        <w:t>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(arrêt 2C_721/2012 du 27 mai 2013 consid. 5.2.2 non publié aux ATF 139 II 384 ) et pour la constatation desquels les procédures d'entraide (judiciaire) en matière administrative s'avèrent d'entrée de cause inutilisables.</w:t>
      </w:r>
    </w:p>
    <w:p>
      <w:r>
        <w:rPr>
          <w:b/>
        </w:rPr>
        <w:t>E. 3.3</w:t>
      </w:r>
    </w:p>
    <w:p>
      <w:r>
        <w:t>Conformément au principe de la libre appréciation des preuves (art. 40 de la loi du 4 décembre 1947 de procédure civile fédérale [PCF; RS 273], en relation avec l' art. 19 PA ), l'autorité précédente évalue librement leur force probante notamment par recoupement (arrêt 2C_721/2012 du 27 mai 2013 consid. 5.3.4 non publié aux ATF 139 II 384 ).</w:t>
      </w:r>
    </w:p>
    <w:p>
      <w:r>
        <w:rPr>
          <w:b/>
        </w:rPr>
        <w:t>E. 4</w:t>
      </w:r>
    </w:p>
    <w:p>
      <w:r>
        <w:t>La jurisprudence de la CourEDH tirée de l' art. 6 CEDH en       matière de sanctions internationales</w:t>
      </w:r>
    </w:p>
    <w:p>
      <w:r>
        <w:t>Dans l'arrêt du 21 juin 2016,</w:t>
      </w:r>
    </w:p>
    <w:p>
      <w:r>
        <w:t>Al-Dulimi et Montana Management Inc. c. Suisse (req. n° 5809/08), la CourEDH a jugé que l' art. 6 par. 1 CEDH fait obligation aux juridictions nationales de s'assurer de l'absence d'arbitraire de l'inscription sur les listes des sanctions internationales. Cela signifie concrètement que les requérants doivent disposer au moins d'une possibilité réelle de présenter et de faire examiner au fond, par un tribunal, des éléments de preuve adéquats pour tenter de démontrer que leur inscription sur les listes litigieuses était entachée d'arbitraire (par. 147 et 151).</w:t>
      </w:r>
    </w:p>
    <w:p>
      <w:r>
        <w:t>Il apparaît que les règles relatives à l'établissement des faits par le Tribunal administratif fédéral (cf. consid. 3 ci-dessus) et celles relatives aux pouvoirs d'examen du Tribunal fédéral (cf. consid. 2 ci-dessus) en la matière correspondent aux exigences posées par l'arrêt du 21 juin 2016</w:t>
      </w:r>
    </w:p>
    <w:p>
      <w:r>
        <w:t>Al-Dulimi et Montana Management Inc.</w:t>
      </w:r>
    </w:p>
    <w:p>
      <w:r>
        <w:t>C'est par conséquent à la lumière des principes rappelés ci-dessus qu'il convient d'examiner les griefs du recourant.</w:t>
      </w:r>
    </w:p>
    <w:p>
      <w:r>
        <w:rPr>
          <w:b/>
        </w:rPr>
        <w:t>E. 5</w:t>
      </w:r>
    </w:p>
    <w:p>
      <w:r>
        <w:t>Invoquant l' art. 97 al. 1 LTF , le recourant se plaint de l'établissement inexact et incomplet des faits sous plusieurs angles (ch. 23 à 85). Il s'en prend en particulier aux sources utilisées par l'instance précédente et à l'appréciation des preuves.</w:t>
      </w:r>
    </w:p>
    <w:p>
      <w:r>
        <w:rPr>
          <w:b/>
        </w:rPr>
        <w:t>E. 5.1</w:t>
      </w:r>
    </w:p>
    <w:p>
      <w:r>
        <w:t>En premier lieu, le recourant retranscrit en partie le contenu du consid. 3.2 de l'arrêt attaqué dont il souligne (typographiquement) les verbes conjugués au conditionnel (ch. 40 à 51) et expose que "</w:t>
      </w:r>
    </w:p>
    <w:p>
      <w:r>
        <w:t>d'un ensemble de fait précédemment mentionnés au conditionnel, mais qui étonnamment conduisent de façon catégorique - par l'emploi soudain du présent - à la conclusion par le DEFR que le recourant apporte son soutien et finance le régime en place " (ch. 51). Ce faisant, l'instance précédente serait tombée dans l'arbitraire.</w:t>
      </w:r>
    </w:p>
    <w:p>
      <w:r>
        <w:t>Il n'est pas nécessaire de décider si le grief du recourant concerne l'établissement des faits ou l'appréciation des preuves énoncées par le DEFR dans la décision du 30 mai 2013, ni dans quelle mesure la formulation d'un tel grief répond aux exigences de motivation accrues de l' art. 106 al. 2 LTF . En effet, comme l'indique sa phrase introductive, le consid. 3.2 de l'arrêt attaqué s'est attaché à rapporter le contenu de la décision rendue le 30 mai 2013, c'est-à-dire le contenu des considérants 4.1.2 et 4.1.3, rédigés à l'indicatif présent par le DEFR. La reconnaissance de l'erreur syntaxique qui a conduit l'instance précédente à utiliser le conditionnel en lieu et place de l'imparfait dans le discours indirect libre a pour effet que les reproches du recourant perdent toute consistance et n'infirment en rien le contenu de l'arrêt attaqué. En effet, les sources et faisceaux d'indices sur lesquels l'instance précédente s'est fondée sont décrits dans le considérant 3.3 de l'arrêt attaqué. Enfin, à supposer que l'emploi du conditionnel par l'instance précédente trouve néanmoins une justification syntaxique, il n'y a rien de surprenant à ce que des faits, dont l'existence doit seulement être rendue vraisemblable, soient relatés au conditionnel.</w:t>
      </w:r>
    </w:p>
    <w:p>
      <w:r>
        <w:rPr>
          <w:b/>
        </w:rPr>
        <w:t>E. 5.2</w:t>
      </w:r>
    </w:p>
    <w:p>
      <w:r>
        <w:t>Le recourant affirme qu'il "</w:t>
      </w:r>
    </w:p>
    <w:p>
      <w:r>
        <w:t>était en droit d'attendre que l'autorité inférieure instruise également le dossier avec des éléments en sa faveur afin de pouvoir décider en toute impartialité ". Il n'allègue cependant pas avoir dûment offert des moyens de preuve que l'instance précédente aurait refusés d'administrer en violation de l' art. 12 PA . Pour le surplus, en se fondant sur de nombreuses et diverses sources journalistiques, institutionnelles et étatiques, puis en les recoupant, l'instance précédente n'a pas violé le droit fédéral en matière d'établissement des faits.</w:t>
      </w:r>
    </w:p>
    <w:p>
      <w:r>
        <w:rPr>
          <w:b/>
        </w:rPr>
        <w:t>E. 5.3</w:t>
      </w:r>
    </w:p>
    <w:p>
      <w:r>
        <w:t>Le recourant s'en prend ensuite à l'appréciation des preuves. Il soutient que les sources citées par l'instance précédente "</w:t>
      </w:r>
    </w:p>
    <w:p>
      <w:r>
        <w:t>se recoupent certes mais peuvent être considérées comme légères lorsque l'on sait qu'il existe également d'autres sources qui prétendent le contraire " et que "</w:t>
      </w:r>
    </w:p>
    <w:p>
      <w:r>
        <w:t>les faits relevés s'avèrent des affirmations sans grande force probante, qui relèvent tout au plus de la simple vraisemblance, est (sic)</w:t>
      </w:r>
    </w:p>
    <w:p>
      <w:r>
        <w:t>sont incomplets ". Il est d'avis à cet effet qu'il y a lieu de douter de l'impartialité du journal</w:t>
      </w:r>
    </w:p>
    <w:p>
      <w:r>
        <w:t>The New York Time , de</w:t>
      </w:r>
    </w:p>
    <w:p>
      <w:r>
        <w:t>Reuters , d'</w:t>
      </w:r>
    </w:p>
    <w:p>
      <w:r>
        <w:t>Al Jazeera et du journal</w:t>
      </w:r>
    </w:p>
    <w:p>
      <w:r>
        <w:t>Le Monde. Il ajoute qu'à aucun moment, ses arguments "</w:t>
      </w:r>
    </w:p>
    <w:p>
      <w:r>
        <w:t>n'ont été discutés mais simplement réfutés vu la quantité d'éléments retenus en sa défaveur ". Ce faisant, il ne formule pas une critique d'une manière conforme aux exigences de motivation accrues de l' art. 106 al. 2 LT , en tant qu'il se borne à substituer son opinion à celle de l'instance précédente et, partant, il échoue à démontrer en quoi l'appréciation des preuves par l'instance précédente serait arbitraire.</w:t>
      </w:r>
    </w:p>
    <w:p>
      <w:r>
        <w:t>Les griefs relatifs à l'établissement des faits doivent par conséquent être rejetés dans la mesure où ils peuvent être examinés.</w:t>
      </w:r>
    </w:p>
    <w:p>
      <w:r>
        <w:rPr>
          <w:b/>
        </w:rPr>
        <w:t>E. 6</w:t>
      </w:r>
    </w:p>
    <w:p>
      <w:r>
        <w:t>En vertu de l' art. 1 LEmb , la Confédération peut édicter des mesures de coercition pour appliquer les sanctions visant à faire respecter le droit international public, en particulier les droits de l'homme, décrétées par les principaux partenaires commerciaux de la Suisse. De telles sanctions peuvent être prononcées par la Confédération et sont justifiées dans les cas de violation évidente et grave des droits de l'homme. Les sanctions doivent en outre être aptes et nécessaires à contribuer au rétablissement d'une situation conforme au droit international. Cela signifie que les sanctions telles que le gel ou le blocage des avoirs ne peuvent perdurer dans le temps que si les violations du droit international perdurent également et que les sanctions prononcées contribuent toujours à leur finalité. Comme le recourant ne remet pas en cause en l'espèce la justification fondamentale des sanctions, prononcées contre la Syrie, le Tribunal fédéral n'a pas de motif d'examiner cet aspect plus en détail. Il y a lieu de rappeler toutefois que la justification et l'adéquation des sanctions doivent être réexaminées régulièrement au fil du temps.</w:t>
      </w:r>
    </w:p>
    <w:p>
      <w:r>
        <w:rPr>
          <w:b/>
        </w:rPr>
        <w:t>E. 7</w:t>
      </w:r>
    </w:p>
    <w:p>
      <w:r>
        <w:t>Invoquant l' art. 36 Cst. , le recourant se plaint plutôt de ce que "</w:t>
      </w:r>
    </w:p>
    <w:p>
      <w:r>
        <w:t>eu égard au principe de proportionnalité, les mesures de blocage vont au delà de ce qui est nécessaire pour contrer le risque que ces biens soient dévolus au financement du régime syrien et ne sont pas justifiées dans le cas de personnes dont l'implication dans de tels actes (sic)</w:t>
      </w:r>
    </w:p>
    <w:p>
      <w:r>
        <w:t>n'a pas été démontrée ". Il est d'avis que la restriction à ses droits fondamentaux, soit la liberté économique ( art. 27 Cst. ), le droit au respect de la vie privée et familiale ( art. 8 CEDH , 17 Pacte ONU II et 13 Cst.) et le droit à la garantie de la propriété ( art. 26 Cst. ) n'est ni fondée ni licite ni opportune.</w:t>
      </w:r>
    </w:p>
    <w:p>
      <w:r>
        <w:rPr>
          <w:b/>
        </w:rPr>
        <w:t>E. 7.1</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 art. 36 al. 3 Cst. ), une restriction d'un droit fondamental doit être apte à atteindre le but visé - règle d'aptitude -, lequel ne peut pas être obtenu par une mesure moins incisive - règle de nécessité -; il faut en outre qu'il existe un rapport raisonnable entre les effets de la mesure sur la situation de la personne visée et le résultat escompté du point de vue de l'intérêt public - proportionnalité au sens étroit - ( ATF 137 I 167 consid. 3.6 p. 175 s.; 138 I 331 consid. 7.4.3.1 p. 346). S'agissant de mesures prises en vue de sauvegarder les intérêts de la Suisse et ayant des implications politiques importantes, le Tribunal fédéral fait preuve de retenue dans l'examen de la nécessité de celles-ci et dans la pesée des intérêts en présence ( ATF 132 I 229 consid. 10.3 p. 243 s.; arrêt 2C_721/2012 27 mai 2013 consid. 6.2 non publié in ATF 139 II 384 ).</w:t>
      </w:r>
    </w:p>
    <w:p>
      <w:r>
        <w:rPr>
          <w:b/>
        </w:rPr>
        <w:t>E. 7.2</w:t>
      </w:r>
    </w:p>
    <w:p>
      <w:r>
        <w:t>A l'appui de son grief, le recourant expose ce qu'il avait allégué dans le mémoire de recours adressé à l'instance précédente : "</w:t>
      </w:r>
    </w:p>
    <w:p>
      <w:r>
        <w:t>pour mémoire, le compte HSBC qui fait l'objet du blocage a uniquement été utilisé pour le paiement de factures en relation avec l'activité professionnelle du recourant, si bien que cette mesure entrave sa liberté économique et son droit à la garantie de la propriété ". Ces faits ne ressortent pas de l'arrêt attaqué ( art. 105 al. 1 LTF ) et le recourant n'expose pas en quoi les conditions de l' art. 97 al. 1 LTF seraient réunies pour compléter l'état de fait. Ils doivent donc être écartés, à tout le moins en tant qu'ils sont formulés à l'appui du grief de violation du principe de proportionnalité.</w:t>
      </w:r>
    </w:p>
    <w:p>
      <w:r>
        <w:rPr>
          <w:b/>
        </w:rPr>
        <w:t>E. 7.3</w:t>
      </w:r>
    </w:p>
    <w:p>
      <w:r>
        <w:t>Pour le surplus, c'est à bon droit que l'instance précédente a jugé la mesure litigieuse conforme aux conditions d'aptitude, de nécessité et de proportionnalité au sens étroit. En effet, dès lors qu'il est établi, sous l'angle de la vraisemblance prépondérante, que le recourant est proche du gouvernement syrien et qu'il y a un risque de soutien financier du gouvernement syrien par ce dernier, il est nécessaire d'éviter que les sanctions prononcées par les partenaires commerciaux de la Suisse puissent être contournées sur le territoire suisse, tout en réservant dûment, comme en l'espèce, les cas de rigueur (art. 10 al. 3 et 17 al. 2 O-Syrie). Dans ces circonstances, le grief de violation du principe de proportionnalité doit être rejeté, dans la mesure où il peut être examiné.</w:t>
      </w:r>
    </w:p>
    <w:p>
      <w:r>
        <w:rPr>
          <w:b/>
        </w:rPr>
        <w:t>E. 8</w:t>
      </w:r>
    </w:p>
    <w:p>
      <w:r>
        <w:t>Les considérants qui précèdent conduisent au rejet du recours. Succombant, le recourant doit supporter les frais de la procédure fédérale, calculés en fonction des montants en jeu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