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2C_672/2021 vom 18. Mai 2022</w:t>
      </w:r>
    </w:p>
    <w:p>
      <w:r>
        <w:t>Bundesgericht, 2022-05-18, DE</w:t>
      </w:r>
    </w:p>
    <w:p>
      <w:r>
        <w:rPr>
          <w:b/>
        </w:rPr>
        <w:t xml:space="preserve">Quelle: </w:t>
      </w:r>
      <w:r>
        <w:t>https://mcp.opencaselaw.ch/entscheid/bger_2C_672_2021</w:t>
      </w:r>
    </w:p>
    <w:p>
      <w:r>
        <w:t>FR: TF 2C_672/2021 du 18 mai 2022</w:t>
      </w:r>
    </w:p>
    <w:p>
      <w:r>
        <w:t>IT: TF 2C_672/2021 del 18 maggio 2022</w:t>
      </w:r>
    </w:p>
    <w:p>
      <w:pPr>
        <w:pStyle w:val="Heading2"/>
      </w:pPr>
      <w:r>
        <w:t>Erwägungen</w:t>
      </w:r>
    </w:p>
    <w:p>
      <w:r>
        <w:rPr>
          <w:b/>
        </w:rPr>
        <w:t>E. 1.1</w:t>
      </w:r>
    </w:p>
    <w:p>
      <w:r>
        <w:t>Die allgemeinen Voraussetzungen der Beschwerde in öffentlich-rechtlichen Angelegenheiten sind grundsätzlich gegeben (Art. 82 lit. a, Art. 83 e contrario, Art. 86 Abs. 1 lit. d und Abs. 2, Art. 89 Abs. 1 und Art. 100 Abs. 1 BGG in Verbindung Art. 146 DBG [SR 642.11]).</w:t>
      </w:r>
    </w:p>
    <w:p>
      <w:r>
        <w:rPr>
          <w:b/>
        </w:rPr>
        <w:t>E. 1.2</w:t>
      </w:r>
    </w:p>
    <w:p>
      <w:r>
        <w:t>Näherer Prüfung bedarf indes das Vorliegen eines tauglichen Anfechtungsobjekts ( Art. 90 ff. BGG ).</w:t>
      </w:r>
    </w:p>
    <w:p>
      <w:r>
        <w:rPr>
          <w:b/>
        </w:rPr>
        <w:t>E. 1.2.1</w:t>
      </w:r>
    </w:p>
    <w:p>
      <w:r>
        <w:t>Das Bundesgericht soll sich der Konzeption nach nur einmal mit derselben Angelegenheit befassen müssen und diese hierbei abschliessend beurteilen können (Einheit des Verfahrens; BGE 144 III 475 E. 1.2; 144 III 253 E. 1.3; je mit Hinweisen). Die Beschwerde ist daher grundsätzlich nur zulässig gegen Entscheide, die das Verfahren ganz oder teilweise abschliessen (End- oder Teilentscheide gemäss Art. 90 und 91 BGG ). Selbständig eröffnete Vor- und Zwischenentscheide ( Art. 92 und 93 BGG ) schliessen das Verfahren nicht ab; die Hauptsache ist weiterhin hängig ( BGE 145 II 168 E. 2). Sie bilden damit keinen End- oder Teilentscheid (Urteile 6B_1010/2021 vom 10. Januar 2022 E. 1.1, zur Publikation vorgesehen; 2C_1014/2021 / 2C_1021/2021 vom 6. Januar 2022 E. 2.3.1; 2C_579/2021 vom 5. August 2021 E. 2.1).</w:t>
      </w:r>
    </w:p>
    <w:p>
      <w:r>
        <w:rPr>
          <w:b/>
        </w:rPr>
        <w:t>E. 1.2.2</w:t>
      </w:r>
    </w:p>
    <w:p>
      <w:r>
        <w:t>Beschwerden gegen selbständig eröffnete</w:t>
      </w:r>
    </w:p>
    <w:p>
      <w:r>
        <w:t>Vor- und Zwischenentscheide sind vor Bundesgericht nur in drei Konstellationen zulässig. Selbständige Anfechtbarkeit besteht, wenn der Vor- oder Zwischenentscheid die Zuständigkeit oder den Ausstand betrifft ( Art. 92 BGG ; BGE 147 III 159 E. 3; 145 IV 228 E. 1; 144 III 475 E. 1.1.2), falls er einen nicht wieder gutzumachenden Nachteil bewirken kann ( Art. 93 Abs. 1 lit. a BGG ; BGE 147 III 159 E. 4.1) oder wenn die Gutheissung der Beschwerde sofort einen Endentscheid herbeiführen und damit einen bedeutenden Aufwand an Zeit oder Kosten für ein weitläufiges Beweisverfahren ersparen würde ( Art. 93 Abs. 1 lit. b BGG ; BGE 146 I 36 E. 2.2; zur doppelten Voraussetzung insbesondere BGE 143 III 290 E. 1.4).</w:t>
      </w:r>
    </w:p>
    <w:p>
      <w:r>
        <w:rPr>
          <w:b/>
        </w:rPr>
        <w:t>E. 1.2.3</w:t>
      </w:r>
    </w:p>
    <w:p>
      <w:r>
        <w:t>Die auf diese drei Konstellationen beschränkte selbständige Anfechtbarkeit von Vor- und Zwischenentscheiden bildet aus prozessökonomischen Gründen eine Ausnahme vom Grundsatz, dass das Bundesgericht sich mit jeder Angelegenheit nur einmal befassen soll. Aus diesem Grund ist Art. 93 Abs. 1 BGG restriktiv zu handhaben (Urteil 6B_1010/2021 vom 10. Januar 2022 E. 1.1, zur Publikation vorgesehen), zumal selbständig eröffnete Vor- und Zwischenentscheide mit Beschwerde gegen den noch zu treffenden Endentscheid angefochten werden können, soweit sie sich auf dessen Inhalt auswirken ( Art. 93 Abs. 3 BGG ; Urteil 6B_1010/2021 vom 10. Januar 2022 E. 2.1, zur Publikation vorgesehen; BGE 144 III 253 E. 1.3; 144 III 475 E. 1.2). Es obliegt der beschwerdeführenden Partei darzutun, dass die Eintretensvoraussetzungen von Art. 93 BGG erfüllt sind, soweit deren Vorliegen nicht offensichtlich ist ( BGE 142 III 798 E. 2.2; 141 IV 1 E. 1.1; 141 IV 284 E. 2.3; 141 IV 289 E. 1.3; Urteile 1C_643/2019 vom 21. August 2020 E. 1.2.1, nicht publ. in: BGE 147 II 137 ; 2C_1014/2021 / 2C_1021/2021 vom 6. Januar 2022 E. 2.3.2; 6B_1010/2021 vom 10. Januar 2022 E. 1.1, zur Publikation vorgesehen).</w:t>
      </w:r>
    </w:p>
    <w:p>
      <w:r>
        <w:rPr>
          <w:b/>
        </w:rPr>
        <w:t>E. 1.2.4</w:t>
      </w:r>
    </w:p>
    <w:p>
      <w:r>
        <w:t>Beim nicht wieder gutzumachenden Nachteil im Sinne von Art. 93 Abs. 1 lit. a BGG muss es sich um einen Nachteil</w:t>
      </w:r>
    </w:p>
    <w:p>
      <w:r>
        <w:t>rechtlicher Natur handeln, der sich darüber hinaus auch durch einen für die beschwerdeführende Person günstigen Entscheid in der Zukunft nicht mehr behoben werden kann. Rein tatsächliche Nachteile wie eine Verfahrensverlängerung oder -verteuerung reichen nicht aus (Urteil 6B_1010/2021 vom 10. Januar 2022 E. 1.1, zur Publikation vorgesehen; BGE 147 III 159 E. 4.1; 144 III 475 E. 1.2; 144 IV 321 E. 2.3).</w:t>
      </w:r>
    </w:p>
    <w:p>
      <w:r>
        <w:rPr>
          <w:b/>
        </w:rPr>
        <w:t>E. 1.2.5</w:t>
      </w:r>
    </w:p>
    <w:p>
      <w:r>
        <w:t>Was Art. 93 Abs. 1 lit. b BGG betrifft, so geht es ausschliesslich um den Aufwand für ein Beweisverfahren (und damit nicht um den Aufwand für die Auslegung und/oder Anwendung des Rechts). Die üblichen finanziellen und zeitlichen Aufwendungen, die bei Fortsetzung des Beweisverfahrens anfallen, vermögen den Tatbestand nicht zu erfüllen. Ein Beweisverfahren, das den üblichen Rahmen nicht sprengt, rechtfertigt keine gesonderte Anrufung des Bundesgerichts (Urteile 1C_643/2019 vom 21. August 2020 E. 1.2.1; 4A_484/2014 vom 3. Februar 2015 E. 1.3). Unter den Schutz von Art. 93 Abs. 1 lit. b BGG fällt einzig der zeitliche und finanzielle Aufwand für ein Beweisverfahren, der als</w:t>
      </w:r>
    </w:p>
    <w:p>
      <w:r>
        <w:t>deutlich überdurchschnittlich erscheint (Urteile 1C_655/2020 vom 3. November 2021 E. 2.3; 1C_440/2016 vom 30. Juni 2017 E. 1.5; 1C_88/ 2015 vom 28. April 2015 E. 3.1).</w:t>
      </w:r>
    </w:p>
    <w:p>
      <w:r>
        <w:rPr>
          <w:b/>
        </w:rPr>
        <w:t>E. 1.3.1</w:t>
      </w:r>
    </w:p>
    <w:p>
      <w:r>
        <w:t>Die Vorinstanz hat kassatorisch entschieden und die Sache zur neuen Beurteilung an die Veranlagungsbehörde zurückgewiesen. Dem Bundesgericht liegt damit ein Rückweisungsentscheid vor. Ein solcher schliesst das Verfahren nicht ab, weshalb es sich bei ihm grundsätzlich um einen Vor- oder Zwischenentscheid handelt ( BGE 145 II 168 E. 2; 144 III 253 E. 1.3; 144 IV 321 E. 2.3). Wenn die Rückweisung aber einzig noch der (rechnerischen) Umsetzung des oberinstanzlich Angeordneten dient und der Unterinstanz daher</w:t>
      </w:r>
    </w:p>
    <w:p>
      <w:r>
        <w:t>keinerlei Entscheidungsspielraum verbleibt, nimmt die öffentlich-rechtliche Praxis des Bundesgerichts einen anfechtbaren</w:t>
      </w:r>
    </w:p>
    <w:p>
      <w:r>
        <w:t>Endentscheid im Sinne von Art. 90 BGG an ( BGE 145 III 42 E. 2.1; 144 V 280 E. 1.2).</w:t>
      </w:r>
    </w:p>
    <w:p>
      <w:r>
        <w:rPr>
          <w:b/>
        </w:rPr>
        <w:t>E. 1.3.2</w:t>
      </w:r>
    </w:p>
    <w:p>
      <w:r>
        <w:t>Eine Ausnahme von dieser Regel sieht die Rechtsprechung vor, wenn der oberinstanzliche Rückweisungsentscheid materiellrechtliche Vorgaben enthält, die den Beurteilungsspielraum der Unterinstanz zwar</w:t>
      </w:r>
    </w:p>
    <w:p>
      <w:r>
        <w:t>nicht vollständig, aber doch erheblich einschränken . Für die Unterinstanz kann dies einen nicht wieder gutzumachenden Nachteil rechtlicher Natur gemäss Art. 93 Abs. 1 lit. a BGG bewirken, indem sie nunmehr gehalten ist, einen Entscheid zu treffen, den sie möglicherweise als unzutreffend erachtet, zu dessen Anfechtung sie aber nicht befugt ist. In einem solchen Fall hat die steuerpflichtige Person regelmässig keinen Anlass, den neu zu erlassenden Entscheid anzufechten, wenn er zu ihrem Vorteil ausfällt. Im Ergebnis könnte der unter Umständen rechtswidrige Entscheid keiner bundesgerichtlichen Überprüfung unterzogen werden, weshalb die Legitimation der Unterinstanz zu bejahen ist ( BGE 145 I 239 E. 3.3; 144 IV 321 E. 2.3).</w:t>
      </w:r>
    </w:p>
    <w:p>
      <w:r>
        <w:rPr>
          <w:b/>
        </w:rPr>
        <w:t>E. 2.1</w:t>
      </w:r>
    </w:p>
    <w:p>
      <w:r>
        <w:t>Der angefochtene Rückweisungsentscheid beruht darauf, dass das Bundesgericht im Urteil 2C_1116/2018 vom 5. August 2020 E. 9 erkannt hatte, der rechtserhebliche Sachverhalt sei noch ungenügend festgestellt. Das Bundesgericht umriss damals im Wesentlichen vier Sachverhaltsfelder, die weiterer Prüfung bedürften (Zusammensetzung der Auslandsgewinne; Erkennbarkeit der Bundesrechtswidrigkeit der Steuerrulings; Identität von Rulingsachverhalt und tatsächlichem Sachverhalt; nicht ohne Nachteil rückgängig zu machende Dispositionen; Sachverhalt, lit. G.b). In rechtlicher Hinsicht setzte es sich vorab mit dem unilateralen Modus der Besteuerung auseinander ( Art. 52 DBG ). Es erwog, dass die in den Schreiben vom 11. Dezember 2008 und 12. November 2010 vereinbarte Methode weder in Einklang mit Art. 52 Abs. 1 noch mit Art. 52 Abs. 2 und 3 DBG stehe (E. 7.6).</w:t>
      </w:r>
    </w:p>
    <w:p>
      <w:r>
        <w:rPr>
          <w:b/>
        </w:rPr>
        <w:t>E. 2.2</w:t>
      </w:r>
    </w:p>
    <w:p>
      <w:r>
        <w:t>Hebt das Bundesgericht einen Entscheid auf und weist es die Sache zu neuer Beurteilung an eine untere Instanz zurück, so ist die erneut mit der Sache befasste Behörde - unter Vorbehalt prozessual zulässiger Noven, die eine andere Sichtweise nahelegen - an die rechtliche Begründung des Bundesgerichts gebunden ( Art. 61 BGG ). In Fällen, in welchen das Bundesgericht die Sache mit der Weisung an die Vorinstanz zurückweist, den Sachverhalt zu ergänzen und gestützt darauf einen neuen Entscheid zu erlassen, ist die rechtliche Auffassung des Bundesgerichts dafür massgeblich, welche Tatsachen als rechtserheblich gelten, abzuklären und dem neuen Entscheid zu Grunde zu legen sind ( BGE 143 IV 214 E. 5.3.3; Urteil 2C_240/2021 vom 24. August 2021 E. 2.3).</w:t>
      </w:r>
    </w:p>
    <w:p>
      <w:r>
        <w:rPr>
          <w:b/>
        </w:rPr>
        <w:t>E. 2.3</w:t>
      </w:r>
    </w:p>
    <w:p>
      <w:r>
        <w:t>Die Vorinstanz äussert sich im angefochtenen Entscheid auch zu rechtlichen Fragen, ohne dabei von den höchstrichterlichen Vorgaben abzuweichen. Zur Hauptsache setzt sie sich aber mit dem tatsächlichen Fundament auseinander, wobei sie zusammenfasst, welche Elemente zu erheben bleiben (Sachverhalt, lit. H.a). In der Folge legt sie das Prüfprogramm dar, welches die Veranlagungsbehörde zu befolgen hat (Sachverhalt, lit. H.b). Die Vorinstanz tut im Grunde nichts anderes, als die bundesgerichtlichen Vorgaben herunterzubrechen und sie zuhanden der Veranlagungsbehörde zu verdeutlichen. Sie spricht davon, dass die Neuberechnung "äusserst komplex" sei (E. II./8), hält gleichzeitig aber auch fest, dass es sich um eine "Rückweisung zu erneutem Entscheid mit offenem Ausgang" handle (E. IIII./1.2).</w:t>
      </w:r>
    </w:p>
    <w:p>
      <w:r>
        <w:rPr>
          <w:b/>
        </w:rPr>
        <w:t>E. 2.4</w:t>
      </w:r>
    </w:p>
    <w:p>
      <w:r>
        <w:t>So oder anders enthält der angefochtene Entscheid keine "neuen" Vorgaben, die eine selbständige Anfechtung rechtfertigen könnten. Den Umstand, dass die Veranlagungsbehörde nun in ihrer Handlungsfreiheit stark eingeschränkt sei, weshalb ein selbständig anfechtbarer Endentscheid vorliege (vorne E. 1.3.1), könnte die Veranlagungsbehörde rügen, nicht aber die Steuerpflichtigen (vorne E. 1.3). Der Veranlagungsbehörde wäre allerdings entgegenzuhalten, dass eine Anfechtung dessen, was das Bundesgericht bereits entschieden hat, von vornherein ausgeschlossen ist ( Art. 61 BGG ; vorne E. 2.2). Mit Blick darauf, dass der angefochtene Entscheid sich als blosse Fortsetzung des höchstrichterlich Entschiedenen darstellt, ist auch nicht von einem selbständig anfechtbaren Zwischenentscheid zu sprechen. Einen nicht wieder gutzumachenden Nachteil rechtlicher Natur vermag die blosse Weiterrückverweisung an die Veranlagungsbehörde nicht hervorzurufen ( Art. 93 Abs. 1 lit. a BGG ; vorne E. 1.2.4). Ebenso wenig erfüllt ist der Tatbestand von Art. 93 Abs. 1 lit. b BGG (vorne E. 1.2.5) : Das Bundesgericht hat im ersten Rechtsgang entschieden, dass der Sache vertieft nachzugehen sei. Diesem Auftrag haben die kantonalen Instanzen nun nachzukommen. Zeitlicher und finanzieller Aufwand für ein Beweisverfahren, der als</w:t>
      </w:r>
    </w:p>
    <w:p>
      <w:r>
        <w:t>deutlich überdurchschnittlich erscheint, wird dabei nicht anfallen.</w:t>
      </w:r>
    </w:p>
    <w:p>
      <w:r>
        <w:rPr>
          <w:b/>
        </w:rPr>
        <w:t>E. 2.5</w:t>
      </w:r>
    </w:p>
    <w:p>
      <w:r>
        <w:t>Der angefochtene Entscheid ist damit keiner selbständigen Anfechtung zugänglich, weshalb die Beschwerde unzulässig ist. Es ist darauf nicht einzutreten.</w:t>
      </w:r>
    </w:p>
    <w:p>
      <w:r>
        <w:rPr>
          <w:b/>
        </w:rPr>
        <w:t>E. 3.1</w:t>
      </w:r>
    </w:p>
    <w:p>
      <w:r>
        <w:t>Nach dem Unterliegerprinzip sind die Kosten des bundesgerichtlichen Verfahrens den beiden Steuerpflichtigen aufzuerlegen (Art. 65 in Verbindung mit Art. 66 Abs. 1 BGG ). Diese haften zu gleichen Teilen und solidarisch ( Art. 66 Abs. 5 BGG ).</w:t>
      </w:r>
    </w:p>
    <w:p>
      <w:r>
        <w:rPr>
          <w:b/>
        </w:rPr>
        <w:t>E. 3.2</w:t>
      </w:r>
    </w:p>
    <w:p>
      <w:r>
        <w:t>Dem Kanton Glarus,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