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2C_671/2016 vom 20. April 2017</w:t>
      </w:r>
    </w:p>
    <w:p>
      <w:r>
        <w:t>Bundesgericht, 2017-04-20, DE</w:t>
      </w:r>
    </w:p>
    <w:p>
      <w:r>
        <w:rPr>
          <w:b/>
        </w:rPr>
        <w:t xml:space="preserve">Quelle: </w:t>
      </w:r>
      <w:r>
        <w:t>https://mcp.opencaselaw.ch/entscheid/bger_2C_671_2016</w:t>
      </w:r>
    </w:p>
    <w:p>
      <w:r>
        <w:t>FR: TF 2C_671/2016 du 20 avril 2017</w:t>
      </w:r>
    </w:p>
    <w:p>
      <w:r>
        <w:t>IT: TF 2C_671/2016 del 20 aprile 2017</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kantonalen Endentscheid ( Art. 90 BGG ) auf dem Gebiet des Ausländerrechts. Der mit einer schweizerischen Staatsangehörigen verheiratete, nicht mehr mit dieser zusammenwohnende Beschwerdeführer macht in vertretbarer Weise einen Anspruch auf Verlängerung seiner Aufenthaltsbewilligung (Art. 50 des Bundesgesetzes vom 16. Dezember 2005 über die Ausländerinnen und Ausländer [AuG; SR 142.20]) geltend. Die Beschwerde in öffentlich-rechtlichen Angelegenheiten ist zulässig (Art. 83 lit. c Ziff. 2</w:t>
      </w:r>
    </w:p>
    <w:p>
      <w:r>
        <w:t>e contrario BGG; BGE 135 II 1 E. 1.2.1 S. 4). Die Wegweisung ist vom Beschwerdeführer nur als Folge des Bewilligungswiderrufes angefochten.</w:t>
      </w:r>
    </w:p>
    <w:p>
      <w:r>
        <w:rPr>
          <w:b/>
        </w:rPr>
        <w:t>E. 1.2</w:t>
      </w:r>
    </w:p>
    <w:p>
      <w:r>
        <w:t>Der Beschwerdeführer, der am vorinstanzlichen Verfahren teilgenommen hat und mit seinen Anträgen unterlegen ist, hat ein schutzwürdiges Interesse an der Aufhebung des angefochtenen Urteils, wodurch der Widerruf seiner Niederlassungsbewilligung beseitigt würde. Er ist zur Beschwerde legitimiert ( Art. 89 Abs. 1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ULRICH MEYER, Wege zum Bundesgericht - Übersicht und Stolpersteine, ZBJV 146/2010 S. 857). Die dem Bundesgericht eingeräumte Befugnis zur Sachverhaltsergänzung oder -berichtigung entbindet den Beschwerdeführer dennoch nicht von seiner Rüge- und Substanziierungspflicht ( BGE 133 IV 286 E. 6.2 S. 288). Der Beschwerdeführer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eine Verletzung von Art. 50 AuG. Er sei im Zeitpunkt der Auflösung des gemeinsamen Haushalts seit über drei Jahren mit einer schweizerischen Staatsangehörigen verheiratet gewesen und habe einen Anspruch auf Verlängerung der Aufenthaltsbewilligung, weil er sowohl erfolgreich integriert sei (Art. 50 Abs. 1 lit. a AuG) wie auch wichtige Gründe für seinen weiteren Aufenthalt (Art. 50 Abs. 1 lit. b AuG) in der Schweiz vorliegen würden. Die Vorinstanz, die den Schluss gezogen habe, sein Ehewille sei vor Ablauf der dreijährigen Frist erloschen, habe Art. 50 AuG und Art. 9 BV verletzt. Die Nichtverlängerung seiner Aufenthaltsbewilligung trotz bestehendem Anspruch verletze deswegen, weil er einer Arbeitstätigkeit nachgehe, seine Rechnungen bezahle und nicht von der Fürsorge abhängig sei, das Verhältnismässigkeitsprinzip (Art. 96 AuG; Art. 5 Abs. 2 BV ).</w:t>
      </w:r>
    </w:p>
    <w:p>
      <w:r>
        <w:rPr>
          <w:b/>
        </w:rPr>
        <w:t>E. 2.1</w:t>
      </w:r>
    </w:p>
    <w:p>
      <w:r>
        <w:t>Die Vorinstanz hat einen Anspruch des Beschwerdeführers gestützt auf Art. 50 Abs. 1 AuG deswegen verneint, weil die Ehegemeinschaft des Beschwerdeführers nicht die geforderten drei Jahre gedauert habe. Dass die Ehe nur (noch) formell und ohne Aussicht auf Aufnahme bzw. Wiederaufnahme einer ehelichen Gemeinschaft besteht, entzieht sich in der Regel einem direkten Beweis und ist oft nur auf Grund von Indizien zu erstellen. Feststellungen über das Bestehen von solchen Hinweisen können äussere Begebenheiten, aber auch innere psychische Vorgänge betreffen. In beiden Fällen handelt es sich um tatsächliche Feststellungen, die das Bundesgericht nur auf offensichtliche Unrichtigkeit und auf Rechtsverletzungen hin ( Art. 97 Abs. 1 BGG ) überprüft; in die vorinstanzliche Beweiswürdigung greift es nur ein, wenn diese willkürlich ist ( BGE 129 I 8 E. 2.1 S. 9; Urteil 4A_56/2013 vom 4. Juni 2013 E. 2). Rechtsfrage ist demgegenüber, ob die festgestellten Tatsachen (Indizien) darauf schliessen lassen, die Berufung auf die Ehe sei rechtsmissbräuchlich; sie bezwecke insbesondere die Umgehung fremdenpolizeilicher Vorschriften ( BGE 128 II 145 E. 2.3 S. 152).</w:t>
      </w:r>
    </w:p>
    <w:p>
      <w:r>
        <w:rPr>
          <w:b/>
        </w:rPr>
        <w:t>E. 2.2.1</w:t>
      </w:r>
    </w:p>
    <w:p>
      <w:r>
        <w:t>Die Vorinstanz ist ihrer aus der Untersuchungsmaxime fliessenden Pflicht zur Sachverhaltsabklärung (vgl. dazu Urteil 2C_2/2015 vom 13. August 2015 E. 2.3 mit zahlreichen Hinweisen) sorgfältig nachgekommen. Sie hat in tatsächlicher Hinsicht festgestellt, die ehelichen Probleme hätten ihren Anfang bereits Ende Dezember 2013 genommen, als der Ehefrau die IV-Rente entzogen worden sei. Ab 2014 habe der Beschwerdeführer seinen in Serbien lebenden Sohn zwei bis dreimal pro Monat besucht, weshalb angesichts seines Arbeitspensums und des Reisewegs davon ausgegangen werden müsse, dass er ab 2014 den überwiegenden Anteil seiner Freizeit in Serbien und nicht bei seiner Ehefrau in der Schweiz verbracht habe. Nicht in Abrede gestellt sei, dass der Beschwerdeführer im Oktober 2014 eine (flüchtige) aussereheliche Beziehung geführt und wegen Streitigkeiten mehrmals bei Freunden übernachtet habe. Zudem sei der Beschwerdeführer bereits 20 Tage nach Ablauf der gemäss Art. 50 Abs. 1 Aug geforderten Mindestdauer des ehelichen Zusammenlebens aus der gemeinsamen Wohnung ausgezogen. Aus diesen tatsächlichen Feststellungen schloss die Vorinstanz auf einen ab 2014 fehlenden Ehewillen des Beschwerdeführers.</w:t>
      </w:r>
    </w:p>
    <w:p>
      <w:r>
        <w:rPr>
          <w:b/>
        </w:rPr>
        <w:t>E. 2.2.2</w:t>
      </w:r>
    </w:p>
    <w:p>
      <w:r>
        <w:t>Die Vorbringen des Beschwerdeführers, wonach seine Ehefrau ab Entzug der IV-Rente "streitbereit" geworden sei, die Eheprobleme darauf und nicht auf seine flüchtige aussereheliche Beziehung zurückzuführen seien, er auch nach Auszug aus der gemeinsamen ehelichen Wohnung noch Kontakt mit seiner Ehefrau gehabt und sich bis heute nicht von ihr habe scheiden lassen, was auf einen dauerhaften Ehewillen schliessen lasse, lassen keine Anzeichen für eine willkürliche vorinstanzliche Sachverhaltsfeststellung erkennen (vgl. oben E. 1.4).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Dies ist insbesondere dann der Fall, wenn das Sachgericht offensichtlich unhaltbare Schlüsse zieht, erhebliche Beweise übersieht oder solche willkürlich ausser Acht lässt (vgl. BGE 129 I 8 E. 2.1 S. 9; 120 Ia 31 E. 4b S. 40). Durch die Wiederholung seiner eigenen Sichtweise gelingt es dem Beschwerdeführer nicht aufzuzeigen, dass der tatsächliche Schluss der Vorinstanz von den festgestellten Umständen auf einen ab 2014 erloschenen Ehewillen (als einer inneren Tatsache) willkürlich sein soll.</w:t>
      </w:r>
    </w:p>
    <w:p>
      <w:r>
        <w:rPr>
          <w:b/>
        </w:rPr>
        <w:t>E. 2.3</w:t>
      </w:r>
    </w:p>
    <w:p>
      <w:r>
        <w:t>Ist in sachverhaltsmässiger Hinsicht davon auszugehen, dass der Beschwerdeführer ab 2014 keinen Ehewillen mehr hatte, liegt in der Verweigerung der Verlängerung der Aufenthaltsbewilligung des Beschwerdeführers keine Verletzung von Bundesrecht. Wie die Vorinstanz zutreffend erkannte, setzt Art. 50 Abs. 1 AuG voraus, dass die Ehegemeinschaft im Zeitpunkt ihrer Auflösung mehr als drei Jahre gedauert hat, was nicht der Fall ist, wenn der innere Ehewille vor Ablauf dieser Frist erloschen ist und die Eheleute nur noch der Form halber zusammen gewohnt haben (THOMAS HUGI YAR, Von Trennungen, Härtefällen und Delikten - Ausländerrechtliches rund um die Ehe- und Familiengemeinschaft, Jahrbuch für Migrationsrecht 2012/2013, 2013, S. 70 f.). Ebensowenig verletzt die Nichtverlängerung der Aufenthaltsbewilligung des Beschwerdeführers, der in seinem Heimatstaat geboren, aufgewachsen und sozialisiert worden ist sowie dort über enge Familienangehörige (etwa seinen Sohn) verfügt und nur vier Jahre in der Schweiz verbracht hat, das Verhältnismässigkeitsprinzip von Art. 96 AuG oder Art. 5 Abs. 2 BV . Die Beschwerde erweist sich als unbegründet und ist abzuweisen.</w:t>
      </w:r>
    </w:p>
    <w:p>
      <w:r>
        <w:rPr>
          <w:b/>
        </w:rPr>
        <w:t>E. 3</w:t>
      </w:r>
    </w:p>
    <w:p>
      <w:r>
        <w:t>Bei diesem Verfahrensausgang wird der Beschwerdeführer kostenpflichtig ( Art. 68 Abs. 1 BGG ). Seinem Gesuch um unentgeltliche Rechtspflege und Verbeiständung im bundesgerichtlichen Verfahren kann wegen Aussichtslosigkeit nicht entsprochen werden ( Art. 64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