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2C_671/2015 vom 21. August 2015</w:t>
      </w:r>
    </w:p>
    <w:p>
      <w:r>
        <w:t>Bundesgericht, 2015-08-21, FR</w:t>
      </w:r>
    </w:p>
    <w:p>
      <w:r>
        <w:rPr>
          <w:b/>
        </w:rPr>
        <w:t xml:space="preserve">Quelle: </w:t>
      </w:r>
      <w:r>
        <w:t>https://mcp.opencaselaw.ch/entscheid/bger_2C_671_2015</w:t>
      </w:r>
    </w:p>
    <w:p>
      <w:r>
        <w:t>FR: TF 2C_671/2015 du 21 août 2015</w:t>
      </w:r>
    </w:p>
    <w:p>
      <w:r>
        <w:t>IT: TF 2C_671/2015 del 21 agosto 2015</w:t>
      </w:r>
    </w:p>
    <w:p>
      <w:pPr>
        <w:pStyle w:val="Heading2"/>
      </w:pPr>
      <w:r>
        <w:t>Erwägungen</w:t>
      </w:r>
    </w:p>
    <w:p>
      <w:r>
        <w:rPr>
          <w:b/>
        </w:rPr>
        <w:t>E. 1</w:t>
      </w:r>
    </w:p>
    <w:p>
      <w:r>
        <w:t>A.________, ressortissant du Kosovo né en 1983 est entré en Suisse en 1994. Il était au bénéfice d'une autorisation de séjour valable jusqu'au 5 janvier 2007 et a obtenu une attestation de formation élémentaire en qualité d'ouvrier du bâtiment. Il a été marié à une compatriote du 4 avril 2005 au 24 décembre 2008.</w:t>
      </w:r>
    </w:p>
    <w:p>
      <w:r>
        <w:t>Il a été condamné par jugement du 13 septembre 2006 à 26 mois de réclusion pour des brigandages, vols en bande, dommages à la propriété, violations de domicile, tentative de vol, utilisation frauduleuse d'un ordinateur, vol d'usage, conduite sans permis de conduire et consommation de cocaïne commis entre 2002 et 2003. A sa sortie de prison, il a été condamné pour contravention à la LStup, utilisation frauduleuse d'un ordinateur, et autres infractions en concours à une peine de 160 heures de travail d'intérêt général. Le 28 novembre 2008, le Service de la population et des migrants du canton de Fribourg a refusé de renouveler son autorisation de séjour et prononcé son renvoi. Cette décision a été confirmée par arrêt du Tribunal cantonal du canton de Fribourg du 24 mars 2009. L'intéressé n'a pas quitté la Suisse.</w:t>
      </w:r>
    </w:p>
    <w:p>
      <w:r>
        <w:t>Il a de nouveau fait l'objet de condamnations en 2011 et 2014 notamment pour séjour illégal, activité lucrative sans autorisation, conduite sans permis de conduire.</w:t>
      </w:r>
    </w:p>
    <w:p>
      <w:r>
        <w:t>Après avoir été placé en détention, A.________ a été renvoyé à V.________ par un vol du 21 mai 2014. Il est revenu en Suisse deux semaines plus tard.</w:t>
      </w:r>
    </w:p>
    <w:p>
      <w:r>
        <w:t>Le 17 décembre 2014, le Service de la population du canton de Vaud a refusé de délivrer une autorisation de séjour en vue de mariage avec une ressortissante suisse.</w:t>
      </w:r>
    </w:p>
    <w:p>
      <w:r>
        <w:rPr>
          <w:b/>
        </w:rPr>
        <w:t>E. 2</w:t>
      </w:r>
    </w:p>
    <w:p>
      <w:r>
        <w:t>Par arrêt du 31 juillet 2015, le Tribunal cantonal du canton de Vaud a rejeté le recours que A.________ a interjeté contre la décision du 17 décembre 2014. Il avait été condamné à une peine privative de liberté de 26 mois, puis à de courtes peines pour d'autres infractions. Le refus de délivrer une autorisation en vue de mariage n'était pas disproportionné puisque, malgré l'écoulement du temps depuis la condamnation de 2006, ce dernier n'avait pas adopté un comportement respectueux des multiples décisions rendues à son encontre sur le plan administratif et avait commis d'autres infractions pénales.</w:t>
      </w:r>
    </w:p>
    <w:p>
      <w:r>
        <w:rPr>
          <w:b/>
        </w:rPr>
        <w:t>E. 3</w:t>
      </w:r>
    </w:p>
    <w:p>
      <w:r>
        <w:t>Agissant par la voie du recours en matière de droit public pour violation des art. 8 et 12 CEDH , A.________ demande, au moins implicitement, au Tribunal fédéral de lui accorder une autorisation de séjour en vue de mariage. Il demande l'effet suspensif et l'assistance judiciaire.</w:t>
      </w:r>
    </w:p>
    <w:p>
      <w:r>
        <w:t>Il n'a pas été ordonné d'échange des écritures.</w:t>
      </w:r>
    </w:p>
    <w:p>
      <w:r>
        <w:rPr>
          <w:b/>
        </w:rPr>
        <w:t>E. 4</w:t>
      </w:r>
    </w:p>
    <w:p>
      <w:r>
        <w:t>Le recourant se prévaut du droit au respect de son droit au mariage que lui confèrent les art. 8 et 12 CEDH . Son recours échappe par conséquent au motif d'irrecevabilité prévu à l' art. 83 let . c ch. 2 LTF.</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de dernière instance cantonale supérieure ( art. 86 al. 1 let . d et al. 2 LTF), est en principe recevable.</w:t>
      </w:r>
    </w:p>
    <w:p>
      <w:r>
        <w:rPr>
          <w:b/>
        </w:rPr>
        <w:t>E. 5</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En l'espèce, les critiques du recourant à l'encontre des faits retenus par l'instance précédente ne remplissent pas les conditions énoncées par l' art. 97 al. 1 LTF , notamment en ce qu'elles n'exposent pas en quoi la correction du vice aurait une influence sur l'issue du litige. Elles sont donc irrecevables.</w:t>
      </w:r>
    </w:p>
    <w:p>
      <w:r>
        <w:rPr>
          <w:b/>
        </w:rPr>
        <w:t>E. 6.1</w:t>
      </w:r>
    </w:p>
    <w:p>
      <w:r>
        <w:t>Comme l'a correctement exposé l'instance précédente, le droit au respect de la vie privée et familiale garanti à l'art. 8 § 1 CEDH permet, à certaines conditions, d'obtenir un droit à une autorisation de séjour en présence d'indices concrets d'un mariage sérieusement voulu et imminent avec une personne ayant le droit de résider durablement en Suisse ( ATF 137 I 351 consid. 3.2 p. 355). La jurisprudence a précisé que, dans la mesure où l'officier d'état civil ne peut pas célébrer le mariage d'un étranger qui n'a pas établi la légalité de son séjour en Suisse (cf. art. 98 al. 4 CC ),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137 I 351 consid. 3.7, confirmé par ATF 138 I 41 consid. 4).</w:t>
      </w:r>
    </w:p>
    <w:p>
      <w:r>
        <w:rPr>
          <w:b/>
        </w:rPr>
        <w:t>E. 6.2</w:t>
      </w:r>
    </w:p>
    <w:p>
      <w:r>
        <w:t>En l'espèce, les considérants de l'arrêt attaqué, auxquels il peut être renvoyé ( art. 109 al. 3 LTF ), exposent clairement et à bon droit les motifs d'ordre public pour lesquels le recourant ne pourrait pas vivre en Suisse après son mariage, que ce soit en raison des condamnations pénales prononcées à son encontre ou de son manque de respect pour l'ordre public suisse. Il peut aussi être renvoyé aux considérants de l'arrêt attaqué pour la pesée des intérêts effectuée par l'instance précédente, qui a dûment jugé que l'intérêt public au refus de délivrer un permis de séjour en vue de mariage l'emporte sur l'intérêt privé du recourant.</w:t>
      </w:r>
    </w:p>
    <w:p>
      <w:r>
        <w:rPr>
          <w:b/>
        </w:rPr>
        <w:t>E. 7</w:t>
      </w:r>
    </w:p>
    <w:p>
      <w:r>
        <w:t>Les considérants qui précèdent conduisent au rejet du recours en matière de droit public dans la mesure où il est recevable, selon la procédure simplifiée prévue à l' art. 109 al. 2 let. a LTF , sans qu'il y ait lieu d'ordonner un échange d'écritures. La requête d'effet suspensif est devenue sans objet. Le recours étant d'emblée dénué de chance de succès, la requête d'assistance judiciaire doit être rejetée ( art. 64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