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2C_670/2025 vom 3. Dezember 2025</w:t>
      </w:r>
    </w:p>
    <w:p>
      <w:r>
        <w:t>Bundesgericht, 2025-12-03, DE</w:t>
      </w:r>
    </w:p>
    <w:p>
      <w:r>
        <w:rPr>
          <w:b/>
        </w:rPr>
        <w:t xml:space="preserve">Quelle: </w:t>
      </w:r>
      <w:r>
        <w:t>https://mcp.opencaselaw.ch/entscheid/bger_2C_670_2025</w:t>
      </w:r>
    </w:p>
    <w:p>
      <w:r>
        <w:t>FR: TF 2C_670/2025 du 3 décembre 2025</w:t>
      </w:r>
    </w:p>
    <w:p>
      <w:r>
        <w:t>IT: TF 2C_670/2025 del 3 dicembre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w:t>
      </w:r>
    </w:p>
    <w:p>
      <w:r>
        <w:rPr>
          <w:b/>
        </w:rPr>
        <w:t>E. 1.1.1</w:t>
      </w:r>
    </w:p>
    <w:p>
      <w:r>
        <w:t>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2C_470/2025 vom 8. September 2025 E. 1.1.1).</w:t>
      </w:r>
    </w:p>
    <w:p>
      <w:r>
        <w:rPr>
          <w:b/>
        </w:rPr>
        <w:t>E. 1.1.2</w:t>
      </w:r>
    </w:p>
    <w:p>
      <w:r>
        <w:t>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Art. 84a BGG bezweckt wie Art. 84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(vgl. BGE 139 II 340 E. 4; Urteil 2C_653/2018 vom 26. Juli 2019 E. 1.2.1, nicht publ. in: BGE 146 II 150 ).</w:t>
      </w:r>
    </w:p>
    <w:p>
      <w:r>
        <w:rPr>
          <w:b/>
        </w:rPr>
        <w:t>E. 1.2</w:t>
      </w:r>
    </w:p>
    <w:p>
      <w:r>
        <w:t>Die Beschwerdeführerin macht geltend, sie habe im vorinstanzlichen Verfahren ein Rechtsgutachten zur Rechtslage im ersuchenden Staat anfertigen lassen. Da die Vorinstanz dieses als blosse Parteibehauptung würdige, stelle sich vorliegend die Rechtsfrage von grundsätzlicher Bedeutung, wie mit dem Parteigutachten der Beschwerdeführerin aufgrund der per 1. Januar 2025 revidierten Schweizerischen Zivilprozessordnung vom 19. Dezember 2008 (Zivilprozessordnung, ZPO; SR 272) umzugehen ist, da neuerdings Privat- respektive Parteigutachten explizit als "Urkunden" und damit als Beweismittel im Sinne der Zivilprozessordnung gälten.</w:t>
      </w:r>
    </w:p>
    <w:p>
      <w:r>
        <w:rPr>
          <w:b/>
        </w:rPr>
        <w:t>E. 1.2.1</w:t>
      </w:r>
    </w:p>
    <w:p>
      <w:r>
        <w:t>Die Beschwerdeführerin lässt ausser Acht, dass die dem Bundesgericht im Rahmen von Art. 84a BGG unterbreiteten Rechtsfragen (spezifisch) aus dem Bereich der internationalen Amtshilfe in Steuersachen stammen müssen (vgl. Urteile 2C_535/2024 vom 12. November 2024 E. 1.4; 2C_414/2024 vom 12. September 2024 E. 1.4; 2C_765/2021 vom 12. Oktober 2021 E. 3.1). Der von der Beschwerdeführerin aufgeworfenen Rechtsfrage zu Art. 177 ZPO in der Fassung vom 1. Januar 2025 (vgl. AS 2023 491, S. 8) fehlt der Bezug zum Bereich der internationalen Amtshilfe in Steuersachen.</w:t>
      </w:r>
    </w:p>
    <w:p>
      <w:r>
        <w:rPr>
          <w:b/>
        </w:rPr>
        <w:t>E. 1.2.2</w:t>
      </w:r>
    </w:p>
    <w:p>
      <w:r>
        <w:t>Gemäss Art. 5 des Bundesgesetzes vom 28. September 2012 über die internationale Amtshilfe in Steuersachen (Steueramtshilfegesetz, StAhiG; SR 651.1) ist das Verwaltungsverfahrensgesetz vom 20. Dezember 1968 (VwVG; SR 172.021) anwendbar, soweit das Steueramtshilfegesetz nichts anderes bestimmt. Im Amtshilfeverfahren findet die Zivilprozessordnung entgegen der Auffassung der Beschwerdeführerin keine Anwendung. Der Urkundenbegriff richtet sich demnach nicht nach Art. 177 ZPO , sondern nach Art. 12 lit. a VwVG . Nach dem Gesagten fehlt es der aufgeworfenen Rechtsfrage an der grundsätzlichen, amtshilfespezifischen Bedeutung im Sinne von Art. 84a BGG .</w:t>
      </w:r>
    </w:p>
    <w:p>
      <w:r>
        <w:rPr>
          <w:b/>
        </w:rPr>
        <w:t>E. 1.3</w:t>
      </w:r>
    </w:p>
    <w:p>
      <w:r>
        <w:t>Die Beschwerdeführerin trägt im Weiteren vor, in Anbetracht der öffentlich bekannten Tatsache, dass das Amtshilfeersuchen "inmitten heftiger internationaler Entwicklungen" gestellt werde und offensichtlich auf eine "fishing expedition" hinauslaufe, stelle sich die Rechtsfrage, wie weit die Prüfungspflicht der Vorinstanz betreffend das Erhältlichkeitsprinzip, das Subsidiaritätsprinzip, das Spezialitätsprinzip sowie die Plausibilitätskontrolle der voraussichtlichen Erheblichkeit gehe.</w:t>
      </w:r>
    </w:p>
    <w:p>
      <w:r>
        <w:rPr>
          <w:b/>
        </w:rPr>
        <w:t>E. 1.3.1</w:t>
      </w:r>
    </w:p>
    <w:p>
      <w:r>
        <w:t>Die Frage der Beschwerdeführerin zur "Prüfungspflicht" ist geklärt, zumal sie sich ohne Weiteres anhand der ständigen Rechtsprechung zum Erfordernis der voraussichtlichen Erheblichkeit und dem völkerrechtlichen Vertrauensprinzip beantworten lässt.</w:t>
      </w:r>
    </w:p>
    <w:p>
      <w:r>
        <w:rPr>
          <w:b/>
        </w:rPr>
        <w:t>E. 1.3.1.1</w:t>
      </w:r>
    </w:p>
    <w:p>
      <w:r>
        <w:t>Nach der bundesgerichtlichen Rechtsprechung ist das Erfordernis der voraussichtlichen Erheblichkeit erfüllt, wenn im Zeitpunkt der Gesuchstellung eine vernünftige Möglichkeit besteht, dass sich die angefragten Angaben als erheblich erweisen werden. Hingegen spielt es im Grundsatz keine Rolle, wenn sich - einmal beschafft - herausstellt, dass die Informationen nicht relevant sind. Es liegt grundsätzlich nicht am ersuchten Staat, ein Ersuchen oder die Übermittlung von Auskünften zu verweigern, weil er der Ansicht ist, es fehle an der Erheblichkeit der Anfrage oder der dieser zugrunde liegenden Überprüfung. Die ersuchte Behörde hat somit nicht zu entscheiden, ob der im Amtshilfeersuchen dargestellte Sachverhalt gänzlich der Realität entspricht, sondern muss nur überprüfen, ob die ersuchten Informationen einen Bezug zu diesem Sachverhalt haben (vgl. BGE 144 II 206 E. 4.3; 143 II 185 E. 3.3.2; 142 II 161 E. 2.1.1). Die Rolle der Steuerbehörden des ersuchten Staats beschränkt sich im Wesentlichen auf die Prüfung der Plausibilität des Ersuchens (vgl. BGE 142 II 161 E. 2.1.1; vgl. auch Urteile 2C_120/2025 vom 4. März 2025 E. 1.2.1; 2C_761/2022 vom 1. Juli 2024 E. 4.2.1).</w:t>
      </w:r>
    </w:p>
    <w:p>
      <w:r>
        <w:rPr>
          <w:b/>
        </w:rPr>
        <w:t>E. 1.3.1.2</w:t>
      </w:r>
    </w:p>
    <w:p>
      <w:r>
        <w:t>Nach dem (völkerrechtlichen) Grundsatz von Treu und Glauben im Sinne von Art. 26 des Wiener Übereinkommens vom 23. Mai 1969 über das Recht der Verträge (SR 0.111) wird vermutet, dass ein staatsvertraglich gebundener Staat nach Treu und Glauben handelt. Im Bereich der internationalen Amtshilfe in Steuersachen bedeutet diese Vermutung, dass der ersuchte Staat auf die Angaben des ersuchenden Staats vertraut (sogenanntes Vertrauensprinzip; vgl. BGE 146 II 150 E. 7.1). Zwar steht es dem ersuchten Staat offen, zu prüfen, ob die erbetenen Informationen für den vom ersuchenden Staat angestrebten steuerlichen Zweck voraussichtlich erheblich sind. Allerdings verpflichtet das völkerrechtliche Vertrauensprinzip ihn im Grundsatz dennoch, sich auf die Angaben zu verlassen, die der ersuchende Staat mitteilt (vgl. BGE 144 II 206 E. 4.4; 142 II 161 E. 2.1.3; 142 II 218 E. 3.3). Das Vertrauensprinzip schliesst daher nicht aus, dass der ersuchte Staat vom ersuchenden Staat zusätzliche Erklärungen verlangt, wenn ernsthafte Zweifel an der Einhaltung der völkerrechtlichen Grundsätze oder an der voraussichtlichen Erheblichkeit der ersuchten Informationen bestehen. Die Vermutung des guten Glaubens kann jedoch nur aufgrund konkreter, nachgewiesener Anhaltspunkte umgestossen werden (vgl. BGE 146 II 150 E. 7.1; 144 II 206 E. 4.4; Urteil 2C_120/2025 vom 4. März 2025 E. 1.3.1).</w:t>
      </w:r>
    </w:p>
    <w:p>
      <w:r>
        <w:rPr>
          <w:b/>
        </w:rPr>
        <w:t>E. 1.3.2</w:t>
      </w:r>
    </w:p>
    <w:p>
      <w:r>
        <w:t>Die Vorinstanz nimmt eine eingehende Prüfung anhand des soeben dargelegten rechtsprechungsgemässen Massstabs vor und prüft, ob die von der Beschwerdeführerin angerufenen Prinzipien eingehalten werden oder eine "fishing expedition" vorliege (vgl. E. 4 des angefochtenen Urteils). Sie gelangt zum Schluss, dass die Voraussetzungen für die Amtshilfeleistung an die ersuchende Behörde im vorliegenden Fall erfüllt seien. Durch die Amtshilfeleistung werde weder das Spezialitätsprinzip, noch das Erhältlichkeitsprinzip oder das Subsidiaritätsprinzip verletzt. Ebenso sei die voraussichtliche Erheblichkeit der ersuchten Informationen gegeben und es liege keine "fishing expedi- tion" vor (vgl. E. 5 des angefochtenen Urteils). Die von der Beschwerdeführerin vorgetragene Kritik an der vorinstanzlichen Überprüfung richtet sich gegen die Rechtsanwendung im vorliegenden Einzelfall. Eine darüber-hinausgehende Bedeutung kann der Rechtsfrage angesichts der Vorbringen nicht entnommen werden. Es liegt ebenfalls keine Rechtsfrage von grundsätzlicher Bedeutung im Sinne von Art. 84a BGG vor.</w:t>
      </w:r>
    </w:p>
    <w:p>
      <w:r>
        <w:rPr>
          <w:b/>
        </w:rPr>
        <w:t>E. 1.4</w:t>
      </w:r>
    </w:p>
    <w:p>
      <w:r>
        <w:t>Die Beschwerdeführerin macht im Weiteren geltend, die vorliegende Angelegenheit stelle einen besonders bedeutenden Fall dar.</w:t>
      </w:r>
    </w:p>
    <w:p>
      <w:r>
        <w:rPr>
          <w:b/>
        </w:rPr>
        <w:t>E. 1.4.1</w:t>
      </w:r>
    </w:p>
    <w:p>
      <w:r>
        <w:t>Die Beschwerdeführerin leitet einen besonders bedeutenden Fall aus dem Umstand ab, dass das Amtshilfeersuchen "offenkundig" politisch motiviert sei. Die politische Verfolgung des möglicherweise an der Beschwerdeführerin wirtschaftlich berechtigten C.________ sei international bekannt. Es sei davon auszugehen, dass die ersuchten Informationen im ersuchenden Staat missbraucht würden, um in verschiedenen Strafverfahren gegen C.________ verwendet zu werden. Aufgrund dieser politischen Motivation weise das Verfahren im Ausland schwere Mängel auf.</w:t>
      </w:r>
    </w:p>
    <w:p>
      <w:r>
        <w:t>Die Beschwerdeführerin tut vor Bundesgericht keine konkret substanziierten Anhaltspunkte dar, die ihre Ansicht klar bestätigen würden. Sie behauptet lediglich pauschal, dass die ukrainischen Behörden in ungerechtfertigter Weise möglichst viele Informationen zu beschaffen versuchten, bevor ein formelles Strafverfahren eröffnet werde. Sobald diese Informationen zusammengetragen seien, dürften sie unmittelbar zur Einleitung eines missbräuchlichen Strafverfahrens verwendet werden. Konkrete Hinweise, die dafür sprechen, dass tatsächlich ein solches Strafverfahren eingeleitet werden soll, trägt die Beschwerdeführerin indes nicht vor. Demgegenüber erwägt die Vorinstanz, es bestünden aufgrund der plausiblen Angaben der ersuchenden Behörde, in die zu vertrauen sei (vgl. auch E. 1.3.1.2 hiervor), hinreichende Anhaltspunkte für eine mögliche Betriebsstätte der Beschwerdeführerin in der Ukraine (vgl. E. 4.3.1.1 des angefochtenen Urteils). Vor dem Hintergrund dieses steuerlichen Anknüpfungspunkts (Betriebsstätte) erscheint das Ersuchen nicht als "offenkundig" politisch motiviert, wie die Beschwerdeführerin meint. Gestützt auf die nicht weiter substanziierten Ausführungen der Beschwerdeführerin ist nicht ersichtlich, dass das Verfahren im Ausland schwere Mängel aufweist.</w:t>
      </w:r>
    </w:p>
    <w:p>
      <w:r>
        <w:rPr>
          <w:b/>
        </w:rPr>
        <w:t>E. 1.4.2</w:t>
      </w:r>
    </w:p>
    <w:p>
      <w:r>
        <w:t>Überdies verletze die Vorinstanz, so die Beschwerdeführerin weiter, Verfahrensgarantien, darunter den Verhältnismässigkeitsgrundsatz (vgl. Art. 5 Abs. 2 BV ), den Anspruch auf rechtliches Gehör (vgl. Art. 29 Abs. 2 BV ) und das Willkürverbot (vgl. Art. 9 BV ). Die Vorinstanz erwäge pauschal, dass sämtliche Daten und Informationen wesentliche Elemente bei der Überprüfung der Geldflüsse und der Betriebsstätte darstellten.</w:t>
      </w:r>
    </w:p>
    <w:p>
      <w:r>
        <w:t>Diese Vorbringen der Beschwerdeführerin lassen keine Verletzung von elementaren Verfahrensgrundsätzen erkennen. Hierfür hätte die Beschwerdeführerin aufzeigen müssen, dass eine qualifizierte Verletzung der angerufenen Verfahrensgarantien vorliegt (vgl. Urteile 2C_470/2025 vom 8. September 2025 E. 1.4; 2C_391/2025 vom 30. Juli 2025 E. 1.5; 2C_393/2025 vom 29. Juli 2025 E. 1.4; 2C_414/2024 vom 12. September 2024 E. 1.3; 2C_622/2022 vom 29. Juli 2022 E. 1.3.1). Soweit die Rügen der Verletzung von verfassungsmässigen Rechten hinreichend begründet sind (vgl. Art. 106 Abs. 2 BGG ), ergibt sich aus den Beanstandungen der Beschwerdeführerin jedenfalls nicht, dass eine qualifizierte Verletzung vorliegen würde.</w:t>
      </w:r>
    </w:p>
    <w:p>
      <w:r>
        <w:rPr>
          <w:b/>
        </w:rPr>
        <w:t>E. 1.4.3</w:t>
      </w:r>
    </w:p>
    <w:p>
      <w:r>
        <w:t>Nach dem Dargelegten liegt kein besonders bedeutender Fall im Sinne von Art. 84a BGG in Verbindung mit Art. 84 Abs. 2 BGG vor.</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