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2C_668/2016 vom 25. März 2020</w:t>
      </w:r>
    </w:p>
    <w:p>
      <w:r>
        <w:t>Bundesgericht, 2020-03-25, IT</w:t>
      </w:r>
    </w:p>
    <w:p>
      <w:r>
        <w:rPr>
          <w:b/>
        </w:rPr>
        <w:t xml:space="preserve">Quelle: </w:t>
      </w:r>
      <w:r>
        <w:t>https://mcp.opencaselaw.ch/entscheid/bger_2C_668_2016</w:t>
      </w:r>
    </w:p>
    <w:p>
      <w:r>
        <w:t>FR: TF 2C_668/2016 du 25 mars 2020</w:t>
      </w:r>
    </w:p>
    <w:p>
      <w:r>
        <w:t>IT: TF 2C_668/2016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e la replica adempiono solo in parte alle condizioni di motivazione esposte. Nella misura in cui non le rispettano sono pertanto inammissibili.</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1.6.2</w:t>
      </w:r>
    </w:p>
    <w:p>
      <w:r>
        <w:t>Secondo la ricorrente, nella sua qualità di proprietaria di fondi o di insieme di fondi sui quali sono presenti complessivamente 300 posteggi per autovetture, a disposizione dei dipendenti e/o degli ospiti/visitatori della società alla quale i fondi sono locati, essa fa parte della cerchia dei soggetti giuridici qualificabili quali debitori della controversa tassa di collegamento (art. 35h combinato con l'art. 35b LTPub). Premesse queste considerazioni, non è quindi per nulla inverosimile che la ricorrente venga confrontata con l'applicazione della tassa ora contestata. La sua legittimazione ad agire va pertanto di principio ammessa.</w:t>
      </w:r>
    </w:p>
    <w:p>
      <w:r>
        <w:rPr>
          <w:b/>
        </w:rPr>
        <w:t>E. 2.1</w:t>
      </w:r>
    </w:p>
    <w:p>
      <w:r>
        <w:t>Riassunto l'iter legislativo che ha preceduto l'adozione dei nuovi art. 35a-35t LTPub nonché del relativo regolamento di applicazione ( art. 1 a 13 RTColl), la ricorrente osserva che non si è in presenza di una tassa bensì di un'imposta, in casu di un'imposta speciale. Essa spiega in seguito perché, a suo avviso, non si tratta di un'imposta d'orientamento (tra l'altro perché questo tipo d'imposta non dovrebbe avere fini fiscali, contrariamente al tributo contestato) e perché, anche ammesso che potesse essere qualificata d'imposta di attribuzione dei costi, essa non ne adempie le esigenze (vista l'impossibilità di verificare le varie voci di spese poste a carico dei contribuenti, l'inesistenza del nesso che dovrebbe esistere tra i proprietari colpiti e le spese citate nonché la mancanza di un uso accresciuto da parte di questi proprietari del servizio di trasporto pubblico), ciò che la rende illecita.</w:t>
      </w:r>
    </w:p>
    <w:p>
      <w:r>
        <w:rPr>
          <w:b/>
        </w:rPr>
        <w:t>E. 2.2</w:t>
      </w:r>
    </w:p>
    <w:p>
      <w:r>
        <w:t>Descritti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 "imposta" e "tassa"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 Riguardo a quest'ultimo punto il Governo precisa che il provento della tassa di collegamento è vincolato al finanziamento delle spese di gestione dell'offerta di trasporto pubblico e ha per scopo di coprire un terzo degli oneri a carico del Cantone, dedotti i contributi della Confederazione, dei Comuni e di terzi (art. 35a e 35e cpv. 1 LTPub). Per quanto concerne la nozione di spese di gestione, rileva che la stessa è chiaramente definita nella legge, segnatamente agli art. 23 cpv. 2 (espressamente richiamata dall'art. 35a) e 24 LTPub, oltre ad essere dettagliata nel Messaggio del 4 novembre 2015.</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9aed. 2001-2002, § 1 n. 3 seg.; ADRIAN HUNGERBÜHLER, Grundsätze des Kausalabgabenrechts, ZBl 104/2003 pag. 505 ss, segnatamente pag. 507; XAVIER OBERSON, Droit fiscal suisse, 4aed.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5.6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che concretizzano in ambito fiscale quello dall'uguaglianza giuridica ( art. 8 Cost. ), così come della garanzia della proprietà privata (art. 26 in relazione con gli art. 5 e 36 Cost. ), della parità di trattamento tra concorrenti diretti scaturente dalla libertà economica ( art. 27 e 36 Cost. ) e del principio della non retroattività delle leggi in materia fiscale. Occorre quindi esaminare se l'attuazione della tassa di collegamento è avvenuta rispettando i medesimi.</w:t>
      </w:r>
    </w:p>
    <w:p>
      <w:r>
        <w:rPr>
          <w:b/>
        </w:rPr>
        <w:t>E. 4.2.1</w:t>
      </w:r>
    </w:p>
    <w:p>
      <w:r>
        <w:t>Una norma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inevitabilmente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cioè non dipende dall'effettiva utilizzazione rispettivamente dalla concreta responsabilità di questo gruppo. Inoltre, è ammesso sia una schematizzazione del tributo (nel senso che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In primo luogo la ricorrente afferma che la tassa di collegamento è in realtà un'imposta di attribuzione dei costi e che, in quanto tale, essa disattende i principi della generalità e dell'uniformità dell'imposizione così come quello dell'imposizione secondo la capacità contributiva scaturenti dall' art. 127 cpv. 2 Cost. In effetti, non sarebbe dato il nesso particolare chiesto dalla prassi affinché una differenza di trattamento dei contribuenti ivi assoggettati sia giustificata. In particolare mancherebbe la prova che le spese, che detto tributo vuole coprire, possano essere ricondotte ai proprietari assoggettati così come che siano loro direttamente imputabili. Infine, non sarebbe possibile verificare le varie voci di spese che si vogliono ribaltare sui privati (cfr. ricorso pag. 13 e segg., in particolare pag. 17 a 20). Sennonché come illustrato in precedenza (cfr. consid. 3.6) la tassa di collegamento non è un'imposta di attribuzione dei costi. La censura, priva di pertinenza, va pertanto respinta.</w:t>
      </w:r>
    </w:p>
    <w:p>
      <w:r>
        <w:rPr>
          <w:b/>
        </w:rPr>
        <w:t>E. 5.2</w:t>
      </w:r>
    </w:p>
    <w:p>
      <w:r>
        <w:t>La ricorrente si richiama in seguito alla libertà economica garantita dall' art. 27 Cost. In questo contesto censura un'ingiustificata disparità di trattamento causata dall'imposta contesta, la quale indurrebbe, sotto diversi aspetti, discriminazione tra concorrenti diretti, influendo in tal modo sui rapporti di libera concorrenza.</w:t>
      </w:r>
    </w:p>
    <w:p>
      <w:r>
        <w:rPr>
          <w:b/>
        </w:rPr>
        <w:t>E. 5.2.1</w:t>
      </w:r>
    </w:p>
    <w:p>
      <w:r>
        <w:t>La libertà economica di cui all' art. 27 cpv. 1 Cost. garantisce tra l'altro il diritto alla libera scelta della professione, al libero accesso a un'attività economica privata e al suo libero esercizio ( art. 27 cpv. 2 Cost. ; DTF 144 I 281 consid. 7.2 pag. 303; 143 II 598 consid. 5.1 pag. 612 seg.; 143 I 403 consid. 5.6.1 pag. 411). Essa può essere invocata sia dalle persone fisiche che dalle persone giuridiche e protegge ogni attività economica privata esercitata a titolo professionale e tendente all'ottenimento di un guadagno o di un reddito ( DTF 137 I 167 consid. 3.1 pag. 172; 135 I 130 consid. 4.2 pag. 135). Come tutti i diritti fondamentali, può essere tuttavia soggetta a limitazioni, secondo le condizioni previste dall' art. 36 Cost. (su questo aspetto vedasi DTF 144 I 281 consid. 5.3.1 pag. 294; sentenza 2C_464/2017 del 17 settembre 2018 consid. 4.1 e rispettivi rinvii). Richiamato in relazione alla libertà economica, il principio di uguaglianza tutela in particolare da disparità di trattamento tra persone attive in un medesimo ambito. In questo contesto, gli art. 27 e 94 Cost. vietano allo Stato di prendere misure che non siano neutrali sul piano della concorrenza tra persone che esercitano la medesima attività ( DTF 143 II 598 consid. 5.1 pag. 612 seg.; 143 I 37 consid. 8.2 pag. 47; 140 I 218 consid. 6.2 pag. 228 seg.). Per concorrenti diretti si intendono i membri di un medesimo settore economico che si rivolgono con la medesima offerta al medesimo pubblico per soddisfare ai medesimi bisogni ( DTF 143 II 598 consid. 5.1 pag. 612 seg.; 132 I 97 consid. 2.1 pag. 99 seg.; sentenza 2C_441/2015 dell'11 gennaio 2016 consid. 7.1.2).</w:t>
      </w:r>
    </w:p>
    <w:p>
      <w:r>
        <w:rPr>
          <w:b/>
        </w:rPr>
        <w:t>E. 5.2.2</w:t>
      </w:r>
    </w:p>
    <w:p>
      <w:r>
        <w:t>La ricorrente ritiene che lo Stato non terrebbe un atteggiamento neutrale nei confronti degli attori che prendono parte al mercato in quanto i posteggi per visitatori di aziende e di centri commerciali (art. 35e LTPub) vengono tassati, mentre quelli di uffici pubblici (art. 35d LTPub) sono invece esentati. La censura, non meglio sostanziata, non adempie le esigenze di motivazione poste dai combinati art. 42 cpv. 2 e 106 cpv. 2 LTF e sfugge pertanto ad un esame di merito. Ma quand'anche si volesse da ciò prescindere la stessa andrebbe respinta già solo perché, come osservato dal Consiglio di Stato (risposta del 4 ottobre 2016 pag. 42), gli uffici pubblici non sono all'evidenza dei concorrenti diretti di aziende ed imprese che svolgono attività economiche.</w:t>
      </w:r>
    </w:p>
    <w:p>
      <w:r>
        <w:rPr>
          <w:b/>
        </w:rPr>
        <w:t>E. 5.2.3</w:t>
      </w:r>
    </w:p>
    <w:p>
      <w:r>
        <w:t>Censurando sempre un'ingiustificata disparità di trattamento tra concorrenti diretti, la ricorrente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di cui allega anche la rappresentazione grafica), ossia quelli considerati maggiormente toccati dai problemi di congestione del traffico, mentre i posteggi in zone più periferiche non saranno invece toccati. Ritiene tale scelta del tutto arbitraria e artefice di una discriminazione fra aziende in concorrenza fra loro. A suo parere non vi è alcuna giustificazione per trattare differentemente due proprietari di fondi sui quali vi è lo stesso numero di posteggi (50 o più) al servizio di attività economiche unicamente in base al Comune di situazione. Al riguardo puntualizza che i suoi immobili sono a poche centinaia di metri dal confine con l'Italia, da dove proviene la maggior parte dei dipendenti che utilizzano i suoi posteggi. Diversamente da coloro che fruiscono dei parcheggi di altri generatori di traffico, situati in altre zone, più discoste dalla frontiera, dette persone generano traffico di un'intensità minore. Ora, tassarla come queste imprese costituisce una misura ingiusta quanto sproporzionata e comunque lesiva della propria libertà economica.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27),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t>Per quanto concerne più specificatamente la ricorrente, il Consiglio di Stato rileva (risposta del 4 ottobre 2016 pag. 42 nonché duplica del 24 febbraio 2017 pag. 2), senza essere contestato, che i suoi posteggi sono imposti perché generano importanti correnti di traffico (disponendo di 300 posti auto, con un minimo di due movimenti al giorno, viene generato un traffico giornaliero di 600 movimenti) e questo all'interno di agglomeramenti fortemente congestionati, dove la rete viaria è satura, segnatamente alle ore di punta. Per i motivi appena esposti, anche su questo punto, il ricorso si rivela privo di pertinenza.</w:t>
      </w:r>
    </w:p>
    <w:p>
      <w:r>
        <w:rPr>
          <w:b/>
        </w:rPr>
        <w:t>E. 5.3</w:t>
      </w:r>
    </w:p>
    <w:p>
      <w:r>
        <w:t>La ricorrente intravede un'ulteriore violazione del diritto di ogni concorrente di essere trattato allo stesso modo, nel fatto che in realtà l'imposta colpirà i dipendenti, sui quali verosimilmente verrà ribaltata, di imprese con più di 50 posteggi, che appartengono di solito al settore secondario, allorché gli impiegati di aziende con meno di 50 parcheggi, attive piuttosto nel settore terziario, la eviteranno. Altrimenti detto ad essere colpiti maggiormente saranno con ogni probabilità i dipendenti del settore secondario, alle dipendenze di grosse aziende e con redditi mediamente inferiori a quelli del settore terziario. La tassa di collegamento si intromette quindi in maniera invasiva nel gioco della libera concorrenza, favorendo certi rami di attività lucrativa, in concreto il terziario invece del secondario. La censura, non meglio motivata (art. 42 cpv. 2 e 106 cpv. 2 LTF), è inammissibile. Quand'anche si volesse da ciò prescindere la stessa andrebbe respinta in quanto manifestamente infondata. Oltre al fatto che è più che dubbio che i dipendenti possano essere qualificati di concorrenti diretti, ciò è ancora meno il caso di imprese attive in settori diversi (secondario - terziario) le quali, già per questa ragione, non evolvono nel medesimo ramo e non si rivolgono ai medesimi clienti con la stessa offerta.</w:t>
      </w:r>
    </w:p>
    <w:p>
      <w:r>
        <w:rPr>
          <w:b/>
        </w:rPr>
        <w:t>E. 5.4.1</w:t>
      </w:r>
    </w:p>
    <w:p>
      <w:r>
        <w:t>Censurando sempre un'ingiustificata disparità di trattamento tra concorrenti diretti proibita dall' art. 27 Cost. , la ricorrente avverte un'ingiustificata discriminazione nel fatto che sono i proprietari di fondi sui quali vi sono 50 o più posteggi a dovere contribuire in maniera accresciuta e speciale al finanziamento dei trasporti pubblici, ciò che de facto favorisce quelle attività economiche con meno di 50 posteggi.</w:t>
      </w:r>
    </w:p>
    <w:p>
      <w:r>
        <w:rPr>
          <w:b/>
        </w:rPr>
        <w:t>E. 5.4.2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la stessa potrebbe comunque trovare una legittimazione, come ammesso dalla prassi, negli obiettivi perseguiti dal legislatore cantonale il quale fruisce, particolarmente in ambito fiscale, di un ampio margine di manovra. Senza poi dimenticare che il citato principio dev'essere osservato per quanto compatibile con il tipo d'imposta (art. 127 cpv. 2 prima frase Cost.; DTF 140 II 157 consid. 7.1 pag. 160 e richiami).</w:t>
      </w:r>
    </w:p>
    <w:p>
      <w:r>
        <w:rPr>
          <w:b/>
        </w:rPr>
        <w:t>E. 5.4.3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pag. 40), grava solo una minoranza di proprietari fondiari,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centinaia di posteggi (vedasi pag. 4 del ricorso ove vengono menzionati 300 posteggi), ragione per cui non possono beneficiare delle riduzioni previste dalla legge, e per i quali l'onere contributivo risulta rilevante (secondo la ricorrente fr. 257'500.-- annui). Senza dimenticare che appare complicato se non impossibile per quest'ultima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(come esposto in precedenza fr. 257'500.--), senza dimenticare che detto tributo viene prelevato soltanto su una parte minima dei posteggi esistenti in Ticino.</w:t>
      </w:r>
    </w:p>
    <w:p>
      <w:r>
        <w:t>Il fatto poi che la tassa di collegamento possa essere addossata direttamente agli impiegati che utilizzano i parcheggi conforta il sentimento che il limite instaurato non è consono al principio della parità di trattamento. In effetti, solo quando il datore di lavoro possiede 50 posteggi e più gli impiegati (che ne fruiscono) si vedranno addebitare allora la tassa, per un importo annuale minimo pari a fr. 875.-- (cfr. art. 35e cpv. 5 LTPub in relazione con l'art. 7 lett. a RTColl), mentre gli impiegati di un datore di lavoro che possiede meno di 50 posteggi non dovranno invece pagare nulla, allorché ognuno di loro genera lo stesso traffico.</w:t>
      </w:r>
    </w:p>
    <w:p>
      <w:r>
        <w:t>Si pone in seguito la questione di sapere se la soglia querelata non dia luogo a una disparità di trattamento tra concorrenti diretti (su questa nozione DTF 145 I 183 consid. 4.1.1 pag. 191 seg. e richiami). Il proprietario che mette a disposizione dei propri clienti e/o impiegati un massimo di 49 posti auto non deve versare nulla allorché quello che possiede 50 posteggi (e più) è assoggettato all'imposta. Ci si può quindi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 DTF 145 I 183 consid. 4.1.1 pag. 191 seg. e richiami; 143 II 598 consid. 5.1 pag. 612 seg.; 143 I 37 consid. 8.2 pag. 47 seg.; 140 I 218 consid. 6.3 pag. 229).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w:t>
      </w:r>
    </w:p>
    <w:p>
      <w:r>
        <w:rPr>
          <w:b/>
        </w:rPr>
        <w:t>E. 5.5</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segnatamente per quanto concerne la parità di trattamento tra concorrenti diretti.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5.6</w:t>
      </w:r>
    </w:p>
    <w:p>
      <w:r>
        <w:t>La legge, al suo articolo 35t, prevede, come già accennato (consid. 3.5.2 in fine) e come peraltro evidenziato anche dal Consiglio di Stato (cfr. risposta del 4 ottobre 2016 pag. 7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segnatamente tra concorrenti diretti, il ricorso si rivela infondato e come tale va respinto.</w:t>
      </w:r>
    </w:p>
    <w:p>
      <w:r>
        <w:rPr>
          <w:b/>
        </w:rPr>
        <w:t>E. 6.1</w:t>
      </w:r>
    </w:p>
    <w:p>
      <w:r>
        <w:t>La ricorrente fa poi valere la violazione della garanzia della proprietà privata tutelata dall' art. 26 Cost. Rileva che l'importo annuo da pagare (fr. 257'500.--, ossia circa il 50 % del suo onere fiscale) intacca sensibilmente il suo patrimonio rispettivamente rende impossibile l'accumulo di nuovo capitale. Aggiunge che la possibilità di ribaltarla sulla propria locataria non cambia nulla, il problema essendo semplicemente trasferito da una persona giuridica all'altra. Essa afferma poi che la restrizione della proprietà dovuta al tributo contestato sarebbe anche sproporzionata, soprattutto perché non verrebbe raggiunta, con ogni probabilità, alcuna riduzione del traffico veicolare, non essendovi in Ticino (anche per la conformità geografica del Cantone) un serio e capillare sistema di servizio pubblico. Al riguardo rileva che la zona industriale in cui si trova, a poche centinaia di metri dalla dogana con l'Italia, è poco o per nulla connessa ai servizi pubblici (vedasi portale dell'Ufficio federale dello sviluppo territoriale ove la zona in questione è definita di "debole" collegamento pubblico), ragione per cui chi utilizza l'automobile continuerà a farlo. Afferma poi che l'imposta contestata non rispetta neppure la regola della necessità siccome la riduzione del traffico veicolare avrebbe potuto essere conseguita meglio mettendo in atto diversi provvedimenti (intensificazione del servizio pubblico nei pressi dei generatori di importanti correnti di traffico, condivisione dell'auto, incentivo alla mobilità aziendale).</w:t>
      </w:r>
    </w:p>
    <w:p>
      <w:r>
        <w:rPr>
          <w:b/>
        </w:rPr>
        <w:t>E. 6.2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6.3</w:t>
      </w:r>
    </w:p>
    <w:p>
      <w:r>
        <w:t>Nel caso specifico la ricorrente non fornisce elementi o dati atti a provare che l'imposta querelata la priverebbe di una parte esorbitante della sua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t>Con riferimento all'argomentazione formulata riguardo alle ragioni per cui la tassa non sarebbe proporzionale rispettivamente perché non sarebbe nemmeno necessaria, la ricorrente si limita ad esporre i propri dubbi e perplessità, ciò che all'evidenza non soddisfa le esigenze di motivazione richieste dai combinati art. 42 cpv. 2 e 106 cpv. 2 LTF. A titolo abbondanziale si può osservare che, come precisato dal Consiglio di Stato nella sua duplica del 24 febbraio 2017 senza essere contraddetto (la ricorrente avendo rinunciato ad esprimersi ulteriormente), lo stabilimento della ricorrente si trova a soli 300 metri circa di una fermata di bus, la quale è servita con cadenza di 30 minuti nelle ore di punta, e che la sua raggiungibilità dall'Italia sarebbe stata migliora dal dicembre 2017, grazie all'attivazione di un collegamento ferroviario transfrontaliero, con possibilità d'interscambio tra la linea del bus e le linee ferroviarie presso la nuova fermata ferroviaria situata in territorio italiano.</w:t>
      </w:r>
    </w:p>
    <w:p>
      <w:r>
        <w:rPr>
          <w:b/>
        </w:rPr>
        <w:t>E. 7.1</w:t>
      </w:r>
    </w:p>
    <w:p>
      <w:r>
        <w:t>La ricorrente adduce, in maniera del tutto generica, un'asserita violazione del divieto della non retroattività delle leggi. Al riguardo osserva che al momento dell'edificazione dei suoi immobili è stata costretta dall'autorità comunale, nell'ambito del rilascio della licenza edilizia, a creare 300 posteggi. Rilevando che in realtà ne usa solo 190 circa, considera che a causa del tributo contestato essa sarà costretta a pagare per dei posteggi che non utilizza ma che le sono stati imposti dall'autorità comunale.</w:t>
      </w:r>
    </w:p>
    <w:p>
      <w:r>
        <w:rPr>
          <w:b/>
        </w:rPr>
        <w:t>E. 7.2</w:t>
      </w:r>
    </w:p>
    <w:p>
      <w:r>
        <w:t>La questione di sapere se si è in presenza di una retroattività in senso improprio (i presupposti di una retroattività propria non essendo realizzati in concreto, vedasi in proposito DTF 126 V 134 consid. 4a pag. 135; 125 I 182 consid. 2b/cc pag. 186; 119 Ia 154 consid. 4b pag. 160, 254 consid. 3b pag. 258), ovvero l'applicazione del nuovo diritto a situazioni che hanno avuto origine sotto la pregressa normativa, ma perdurano ancora dopo la modifica legislativa e quindi solo per il periodo posteriore alla sua entrata in vigore, la quale è di massima ammissibile nel quadro di leggi cantonali, se non va ad intaccare diritti acquisiti ( DTF 126 V 134 consid. 4a pag. 135; 122 II 113 consid. 3b/dd pag. 124; sentenza 2P.349/2005 del 14 agosto 2006 consid. 2.2, in: RtiD I-2007 n. 4 pag. 15) può rimanere indecisa, dato che anche se ciò fosse il caso la censura, per i motivi esposti di seguito, andrebbe in ogni caso respinta.</w:t>
      </w:r>
    </w:p>
    <w:p>
      <w:r>
        <w:t>Come rileva il Consiglio di Stato, il numero dei posteggi necessari da realizzare sui fondi privati (eccettuati quelli al servizio dell'abitazione) viene determinato dal Regolamento cantonale posteggi privati ( art. 51 a 62 RLst), il quale ha abrogato e rese inapplicabili tutte le norme comunali di applicazione del piano regolatore relative alla quantificazione del numero dei posteggi privati, salvo eventuali disposizioni più restrittive (art. 43 cpv. 2 LST). Osserva che un Comune non può stabilire un fabbisogno maggiore rispetto a quello definito, in maniera restrittiva, in applicazione di detto regolamento (vedasi art. 42 e 43 LST nonché art. 51 a 62 RLst), il quale determina il numero dei posteggi necessari (che sono tanto il numero minimo di posteggi di cui occorre disporre quanto quello massimo, cfr. art. 52 cpv. 3 RLst) riducendo il fabbisogno massimo di riferimento ( art. 53 a 56 a RLst) in funzione, tra l'altro, della qualità del servizio di trasporto pubblico (art. 59 e 60 RLst; vedasi anche gli art. 61 e 61a RLst). In questo caso è possibile, a determinate condizioni, applicare valori ancora più restrittivi (art. 60 cpv. 4 RLst). Il contributo sostituivo comunale può essere chiesto invece per i posteggi mancanti rispetto al numero di quelli necessari in base al Regolamento posteggi privati (riservate norme comunali ancora più restrittive, cfr. art. 43 cpv. 2 LST). Conclude osservando che in nessun caso un Comune può stabilire un fabbisogno maggiore rispetto a quello definito in applicazione del Regolamento posteggi privati e richiedere il versamento di contributi sostitutivi per la differenza. Visto quanto precede, anche su questo punto il ricorso, infondato, va respinto.</w:t>
      </w:r>
    </w:p>
    <w:p>
      <w:r>
        <w:rPr>
          <w:b/>
        </w:rPr>
        <w:t>E. 8.1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8.2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5.6), l'entrata in vigore dev'essere fissata ex nunc. Il Consiglio di Stato è quindi invitato a fissare una nuova data per l'entrata in vigore delle norme contestate.</w:t>
      </w:r>
    </w:p>
    <w:p>
      <w:r>
        <w:rPr>
          <w:b/>
        </w:rPr>
        <w:t>E. 9</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