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668/2010 vom 12. April 2011</w:t>
      </w:r>
    </w:p>
    <w:p>
      <w:r>
        <w:t>Bundesgericht, 2011-04-12, DE</w:t>
      </w:r>
    </w:p>
    <w:p>
      <w:r>
        <w:rPr>
          <w:b/>
        </w:rPr>
        <w:t xml:space="preserve">Quelle: </w:t>
      </w:r>
      <w:r>
        <w:t>https://mcp.opencaselaw.ch/entscheid/bger_2C_668_2010</w:t>
      </w:r>
    </w:p>
    <w:p>
      <w:r>
        <w:t>FR: TF 2C 668/2010 du 12 avril 2011</w:t>
      </w:r>
    </w:p>
    <w:p>
      <w:r>
        <w:t>IT: TF 2C 668/2010 del 12 aprile 2011</w:t>
      </w:r>
    </w:p>
    <w:p>
      <w:pPr>
        <w:pStyle w:val="Heading2"/>
      </w:pPr>
      <w:r>
        <w:t>Regeste</w:t>
      </w:r>
    </w:p>
    <w:p>
      <w:r>
        <w:t>Aufenthaltsbewilligung | Bürgerrecht und Ausländerrecht</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Für das vorliegende Gesuch um Verlängerung der Aufenthaltsbewilligung gilt demnach das neue Ausländerrecht, da dieses vor Gesuchstellung in Kraft getreten ist.</w:t>
      </w:r>
    </w:p>
    <w:p>
      <w:r>
        <w:rPr>
          <w:b/>
        </w:rPr>
        <w:t>E. 1.2</w:t>
      </w:r>
    </w:p>
    <w:p>
      <w:r>
        <w:t>Gemäss Art. 43 Abs. 1 AuG hat der ausländische Ehegatte einer Person mit Niederlassungsbewilligung Anspruch auf Erteilung und Verlängerung der Aufenthaltsbewilligung, wenn die Ehegatten zusammenwohnen. Nach einem ordnungsgemässen und ununterbrochenen Aufenthalt von fünf Jahren hat der ausländische Ehegatte Anspruch auf Erteilung der Niederlassungsbewilligung (Abs. 2). Der Beschwerdeführer, der seit dem 23. September 2004 mit einer Person mit Niederlassungsbewilligung verheiratet ist, hat demnach einen grundsätzlichen Anspruch auf Verlängerung seiner Aufenthaltsbewilligung. Ob ein Grund besteht, diese dennoch zu verweigern, betrifft nicht das Eintreten, sondern bildet Gegenstand der materiellen Beurteilung ( BGE 136 II 177 E. 1.1 S. 179). Die Beschwerde in öffentlich-rechtlichen Angelegenheiten ist somit zulässig ( Art. 83 lit. c Ziff. 2 BGG e contrario) und der Beschwerdeführer ist hierzu legitimiert ( Art. 89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90 Abs. 1 BGG ).</w:t>
      </w:r>
    </w:p>
    <w:p>
      <w:r>
        <w:rPr>
          <w:b/>
        </w:rPr>
        <w:t>E. 2.1</w:t>
      </w:r>
    </w:p>
    <w:p>
      <w:r>
        <w:t>Gemäss Art. 51 Abs. 2 lit. a AuG erlöschen die Ansprüche nach Art. 43 AuG, wenn sie rechtsmissbräuchlich geltend gemacht werden, namentlich um Vorschriften dieses Gesetzes und seiner Ausführungsbestimmungen zu umgehen. Erfasst wird davon die sogenannte Scheinehe bzw. Ausländerrechtsehe. Ein Bewilligungsanspruch entfällt demnach, wenn zum Vornherein nie der Wille bestand, eine dauerhafte Gemeinschaft zu begründen, und der einzige Zweck der Heirat darin liegt, dem Ausländer zu einer fremdenpolizeilichen Bewilligung zu verhelfen (vgl. BGE 128 II 145 E. 2.1 S. 151 mit Hinweisen).</w:t>
      </w:r>
    </w:p>
    <w:p>
      <w:r>
        <w:rPr>
          <w:b/>
        </w:rPr>
        <w:t>E. 2.2</w:t>
      </w:r>
    </w:p>
    <w:p>
      <w:r>
        <w:t>Das Vorliegen einer Ausländerrechtsehe darf nicht leichthin angenommen werden (vgl. BGE 128 II 145 E. 2.2 S. 151).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Urteil 2C_799/ 2010 vom 20. Februar 2011 E. 2.3 mit Hinweis; vgl. zur Mitwirkungspflicht: BGE 132 II 113 E. 3.2 S. 115; 124 II 361 E. 2b S. 365; 122 II 385 E. 4c/cc S. 394). Das gilt umso mehr, wenn gewichtige Hinweise für eine Ausländerrechtsehe sprechen; dann kann von den Eheleuten erwartet werden, dass sie von sich aus Umstände vorbringen, die den echten Ehewillen belegen.</w:t>
      </w:r>
    </w:p>
    <w:p>
      <w:r>
        <w:rPr>
          <w:b/>
        </w:rPr>
        <w:t>E. 2.3</w:t>
      </w:r>
    </w:p>
    <w:p>
      <w:r>
        <w:t>Ob eine Scheinehe geschlossen wurde, entzieht sich in der Regel dem direkten Beweis und ist bloss durch Indizien zu erstellen ( BGE 130 II 113 E. 10.2 und 10.3 S. 135 f. mit Hinweis).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E. 1.3;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 BGE 128 II 145 E. 2.1 S. 151; 127 II 49 E. 4 und E. 5 S. 55 ff.).</w:t>
      </w:r>
    </w:p>
    <w:p>
      <w:r>
        <w:rPr>
          <w:b/>
        </w:rPr>
        <w:t>E. 3.1</w:t>
      </w:r>
    </w:p>
    <w:p>
      <w:r>
        <w:t>Das angefochtene Urteil geht zutreffend von diesen rechtlichen Vorgaben aus. Als Indizien für das Vorliegen einer Scheinehe führen die kantonalen Behörden vorab die ausländerrechtliche Interessenlage, die Scheidung von der türkischen Ehefrau kurz nach der Verweigerung des Asyls, den Altersunterschied von 16 Jahren, die für eheliches Zusammenwohnen wenig geeignete Wohnsituation, die Begleichung von Schulden der serbischen Ehefrau am Tage nach der Hochzeit durch den Beschwerdeführer, die erhebliche finanzielle Unterstützung der ehemaligen Ehefrau in der Türkei sowie auffällige Wissenslücken betreffend den Ehepartner auf. Es kann diesbezüglich vollumfänglich auf die detaillierten, für das Bundesgericht grundsätzlich verbindlichen Feststellungen (vgl. E. 1.3) der Vorinstanz verwiesen werden.</w:t>
      </w:r>
    </w:p>
    <w:p>
      <w:r>
        <w:rPr>
          <w:b/>
        </w:rPr>
        <w:t>E. 3.2</w:t>
      </w:r>
    </w:p>
    <w:p>
      <w:r>
        <w:t>Der Beschwerdeführer setzt sich mit den Erwägungen der Vorinstanz betreffend seine im kantonalen Rechtsmittelverfahren erhobenen Rügen nicht auseinander, sondern wiederholt im Wesentlichen einzig, was er bereits im vorinstanzlichen Verfahren vorbrachte. So geht er beispielsweise nicht näher auf die Feststellung des Verwaltungsgerichts ein, die Suche nach einer geeigneteren Unterkunft sei nicht belegt, sondern behauptet lediglich, er habe diese Suche bewiesen. Er setzt sich ebenfalls nicht mit der Feststellung der Vorinstanz auseinander, die Ehefrau des Beschwerdeführers habe erklärt, sie wohne hauptsächlich bei ihrem Sohn, sowie weitere (von der Vorinstanz dargelegte) Umstände stützten die Annahme, dass sie sich jedenfalls nicht - und sei es auch nur nachts - mehrheitlich beim Beschwerdeführer aufhalte. Diesbezüglich bringt der Beschwerdeführer lediglich vor, es sei in der Türkei und in der Heimat seiner Frau Brauch, dass die Grossmutter ein oder zwei Nächte pro Woche bei den Grosskindern bleibe. Wesentlich erscheint sodann insbesondere, dass er mit keinem Wort darlegt, inwiefern er sich um die Pflege und Aufrechterhaltung der ehelichen Beziehung gesorgt hat. Seiner Beschwerde lässt sich zudem entnehmen, dass seine Ehefrau schlecht deutsch spricht; er macht aber nicht geltend, er unterhalte sich mit ihr auf Türkisch, sondern führt aus, er kommuniziere mit ihr mittels Gebärden, ein paar Bemerkungen, Berührungen.</w:t>
      </w:r>
    </w:p>
    <w:p>
      <w:r>
        <w:rPr>
          <w:b/>
        </w:rPr>
        <w:t>E. 3.3</w:t>
      </w:r>
    </w:p>
    <w:p>
      <w:r>
        <w:t>Im Verwaltungsprozessrecht gilt ganz allgemein der Grundsatz der freien Beweiswürdigung ( BGE 130 II 482 E. 3.2 S. 485). Frei ist die Beweiswürdigung vor allem darin, dass sie nicht an bestimmte starre Beweisregeln gebunden ist, die dem Richter vorschreiben, wie ein gültiger Beweis zu Stande kommt und welchen Beweiswert die einzelnen Beweismittel im Verhältnis zueinander haben. Freie Beweiswürdigung ist nicht mit freiem Ermessen zu verwechseln; es wird keine Wahlfreiheit eingeräumt (FRITZ GYGI, Bundesverwaltungsrechtspflege, 2. Auflage 1983 S. 278/279). Im Bereich der Beweiswürdigung steht dem Sachgericht jedoch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S. 211 ; 129 I 8 E. 2.1 S. 9; 118 Ia 28 E. 1b S. 30). Was der Beschwerdeführer vorbringt, vermag die von der Vorinstanz vorgenommene ausführliche und detaillierte Würdigung der verschiedenen für eine Scheinehe sprechenden Indizien nicht zu erschüttern. Es liegt weder eine willkürliche Sachverhaltsermittlung noch eine willkürliche Beweiswürdigung vor. Nachdem der Beschwerdeführer insbesondere den Nachweis für eine gelebte Ehegemeinschaft nicht erbringt, ist nicht zu beanstanden, dass das Verwaltungsgericht aufgrund der gesamten Umstände geschlossen hat, der Beschwerdeführer sei mit Y.________ die Ehe bloss eingegangen, um sich ein Anwesenheitsrecht in der Schweiz zu verschaffen, weshalb nach Art. 51 Abs. 2 lit. a AuG der Anspruch des Beschwerdeführers auf Verlängerung seiner Aufenthaltsbewilligung entfalle. Die vom Migrationsamt verfügte und von den kantonalen Rechtsmittelinstanzen geschützte Nichtverlängerung dieser Bewilligung verletzt demnach auch das nach Art. 8 EMRK und Art. 13 Abs.1 BV geschützte Familienleben nicht.</w:t>
      </w:r>
    </w:p>
    <w:p>
      <w:r>
        <w:rPr>
          <w:b/>
        </w:rPr>
        <w:t>E. 4.1</w:t>
      </w:r>
    </w:p>
    <w:p>
      <w:r>
        <w:t>Die Beschwerde erweist sich somit als unbegründet und ist abzuweisen.</w:t>
      </w:r>
    </w:p>
    <w:p>
      <w:r>
        <w:rPr>
          <w:b/>
        </w:rPr>
        <w:t>E. 4.2</w:t>
      </w:r>
    </w:p>
    <w:p>
      <w:r>
        <w:t>Der Beschwerdeführer ersucht um Gewährung der unentgeltlichen Rechtspflege. Nach Art. 64 BGG befreit das Bundesgericht eine Partei, die nicht über die erforderlichen Mittel verfügt, auf Antrag von der Bezahlung der Gerichtskosten und von der Sicherstellung der Parteientschädigung, sofern ihr Rechtsbegehren nicht aussichtslos erscheint (Abs. 1). Aufgrund der klaren Ausführungen und der zutreffenden Darlegung der bundesgerichtlichen Rechtsprechung im vorinstanzlichen Entscheid sowie des Umstandes, dass sich die Rügen des Beschwerdeführers letztlich in appellatorischer Kritik am angefochtenen Entscheid erschöpfen, muss das Verfahren vor Bundesgericht als aussichtslos bezeichnet werden. Das Gesuch um Gewährung der unentgeltlichen Rechtspflege ist demnach abzuweisen. Diesem Ausgang entsprechend hat der Beschwerdeführer die Kosten des bundesgerichtlichen Verfahrens zu tragen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