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667/2021 vom 11. März 2022</w:t>
      </w:r>
    </w:p>
    <w:p>
      <w:r>
        <w:t>Bundesgericht, 2022-03-11, FR</w:t>
      </w:r>
    </w:p>
    <w:p>
      <w:r>
        <w:rPr>
          <w:b/>
        </w:rPr>
        <w:t xml:space="preserve">Quelle: </w:t>
      </w:r>
      <w:r>
        <w:t>https://mcp.opencaselaw.ch/entscheid/bger_2C_667_2021</w:t>
      </w:r>
    </w:p>
    <w:p>
      <w:r>
        <w:t>FR: TF 2C 667/2021 du 11 mars 2022</w:t>
      </w:r>
    </w:p>
    <w:p>
      <w:r>
        <w:t>IT: TF 2C 667/2021 del 11 marzo 2022</w:t>
      </w:r>
    </w:p>
    <w:p>
      <w:pPr>
        <w:pStyle w:val="Heading2"/>
      </w:pPr>
      <w:r>
        <w:t>Regeste</w:t>
      </w:r>
    </w:p>
    <w:p>
      <w:r>
        <w:t>Impôt cantonal et communal et l'impôt fédéral direct pour l'année 2016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présent recours est dirigé contre un arrêt confirmant le refus de prendre en déduction le rattrapage d'intérêts invoqué par la recourante concernant les ICC et l'IFD pour la période fiscale 2016. Il s'agit d'une cause de droit public ( art. 82 let. a LTF ). Comme aucune des exceptions prévues à l' art. 83 LTF n'est réalisée, la voie du recours en matière de droit public au sens des art. 82 ss LTF est dès lors ouverte (cf. aussi l'art. 146 de la loi fédérale du 14 décembre 1990 sur l'impôt fédéral direct [LIFD; RS 642.11] et l'art. 73 al. 1 de la loi fédérale du 14 décembre 1990 sur l'harmonisation des impôts directs des cantons et des communes [LHID; RS 642.14]).</w:t>
      </w:r>
    </w:p>
    <w:p>
      <w:r>
        <w:rPr>
          <w:b/>
        </w:rPr>
        <w:t>E. 1.2</w:t>
      </w:r>
    </w:p>
    <w:p>
      <w:r>
        <w:t>L'instance précédente a traité dans un seul jugement de l'IFD et des ICC, ce qui est admissible ( ATF 135 II 260 consid. 1.3.1). Partant, le dépôt d'un seul acte de recours est aussi autorisé, dans la mesure où la recourante s'en prend clairement aux deux catégories d'impôts (cf. ATF 135 II 260 consid. 1.3.2).</w:t>
      </w:r>
    </w:p>
    <w:p>
      <w:r>
        <w:rPr>
          <w:b/>
        </w:rPr>
        <w:t>E. 1.3</w:t>
      </w:r>
    </w:p>
    <w:p>
      <w:r>
        <w:t>Pour le reste, le jugement attaqué est une décision finale ( art. 90 LTF ), rendue en dernière instance cantonale par un tribunal supérieur ( art. 86 al. 1 let . d et al. 2 LTF). La recourante qui est destinataire de l'arrêt attaqué dispose d'un intérêt digne de protection à la modification de celui-ci. Partant, la qualité pour recourir doit lui être reconnue ( art. 89 al. 1 LTF ). En outre, le recours a été déposé en temps utile (art. 46 al. 1 let. b et 100 al. 1 LTF) et dans les formes requises ( art. 42 LTF ). Il convient dès lors d'entrer en matière.</w:t>
      </w:r>
    </w:p>
    <w:p>
      <w:r>
        <w:rPr>
          <w:b/>
        </w:rPr>
        <w:t>E. 2.1</w:t>
      </w:r>
    </w:p>
    <w:p>
      <w:r>
        <w:t>D'après l' art. 106 al. 1 LTF , le Tribunal fédéral applique le droit d'office. En matière fiscale, il examine en principe librement l'application du droit fédéral, ainsi que la conformité du droit cantonal harmonisé et de sa mise en pratique par les instances cantonales aux dispositions de la LHID lorsque les dispositions de cette loi ne laissent pas de marge de manoeuvre aux cantons (cf. ATF 134 II 207 consid. 2; arrêt 2C_132/2020 du 26 novembre 2020 consid. 2.1, non publié in ATF 147 II 155 ). Tel est le cas en l'occurrence s'agissant de la reprise de charges non justifiées par l'usage commercial portées au débit du compte de résultats (cf. art. 24 al. 1 let. a LHID ; arrêt 2C_894/2020 du 27 janvier 2022 consid. 2.1). Le Tribunal fédéral examinera partant librement la cause tant sous l'angle de l'IFD que des ICC.</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dans une partie "Faits" de son mémoire de recours, la recourante présente sa propre vision des événements qui diverge de l'état de fait retenu par la Cour de justice. En tant que les faits ainsi allégués ne sont pas constatés dans l'arrêt attaqué, sans que la recourante ne s'en plaigne de manière circonstanciée, il n'en sera pas tenu compte. Dans un grief concernant l'établissement des faits, la recourante expose que la Cour de justice aurait dû relativiser les déclarations faites dans la procédure de réclamation par sa fiduciaire, laquelle avait indiqué que les intérêts pour les années précédant 2016 n'avaient pas été comptabilisés par erreur. La recourante n'invoquant pas, ni a fortiori ne démontrant pas l'arbitraire dans l'établissement de ces faits, il ne sera pas tenu compte de ses critiques à ce propos. Seul les griefs suffisamment motivés en lien avec l'établissement des faits par la Cour de justice seront donc examinés (cf. infra consid. 3). II. Grief relatif à l'établissement des faits</w:t>
      </w:r>
    </w:p>
    <w:p>
      <w:r>
        <w:rPr>
          <w:b/>
        </w:rPr>
        <w:t>E. 3</w:t>
      </w:r>
    </w:p>
    <w:p>
      <w:r>
        <w:t>La recourante invoque un établissement manifestement inexact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(cf. supra consid. 2.2; ATF 133 II 249 consid. 1.4.3).</w:t>
      </w:r>
    </w:p>
    <w:p>
      <w:r>
        <w:rPr>
          <w:b/>
        </w:rPr>
        <w:t>E. 3.2</w:t>
      </w:r>
    </w:p>
    <w:p>
      <w:r>
        <w:t>D'après la recourante, la Cour de justice aurait arbitrairement considéré qu'elle n'avait pas réussi à établir des circonstances permettant de retenir l'existence de conditions suspensives en lien avec les contrats de prêt conclus avec ses actionnaires, en vertu desquelles le versement des intérêts était conditionné au fait que l'exercice de la société devait rester bénéficiaire une fois les intérêts payés. Si la recourante s'était acquittée des intérêts dus à ses créanciers pour les périodes fiscales 2010 à 2015, ses résultats financiers pour ces années auraient été largement déficitaires. Selon elle, en se fondant sur l'expérience générale de la vie et le bon sens, la Cour de justice aurait dû admettre des circonstances justifiant l'existence de conditions suspensives, car il n'était pas vraisemblable qu'elle se soit engagée envers ses actionnaires d'une manière qui aurait pu mettre en péril sa solvabilité au regard des tiers. La recourante soutient également qu'il ressort des données comptables au dossier plusieurs éléments qui confirmeraient l'existence de conditions suspensives grevant le paiement des intérêts afférents aux prêts de ses actionnaires, soit, depuis l'exercice 2010, la présence d'investissements et de fonds étrangers importants, ainsi qu'une forte augmentation des charges d'exploitation.</w:t>
      </w:r>
    </w:p>
    <w:p>
      <w:r>
        <w:rPr>
          <w:b/>
        </w:rPr>
        <w:t>E. 3.3</w:t>
      </w:r>
    </w:p>
    <w:p>
      <w:r>
        <w:t>La notion de condition suspensive résulte du droit (cf. infra consid. 4.3). Par contre, l'existence de circonstances permettant de retenir une telle condition relève bien des faits.</w:t>
      </w:r>
    </w:p>
    <w:p>
      <w:r>
        <w:rPr>
          <w:b/>
        </w:rPr>
        <w:t>E. 3.4</w:t>
      </w:r>
    </w:p>
    <w:p>
      <w:r>
        <w:t>Les critiques de la recourante ne sauraient cependant être suivies. Comme l'a expliqué l'autorité précédente dans son arrêt, dans un premier temps, la fiduciaire de la recourante, qui la représentait, a indiqué que les intérêts pour les années 2010 à 2015 n'avaient pas été comptabilisés par erreur. Puis, dans un deuxième temps, la recourante a soutenu qu'il existait des conditions suspensives liées au versement des intérêts. Ces conditions ne ressortent pas des contrats de prêt conclus, bien que ceux-ci contiennent un article qui fixe le taux d'intérêt annuel à 3%. La seule pièce au dossier qui corrobore l'existence de telles conditions est une attestation des prêteurs datée du jour du dépôt du recours devant le Tribunal administratif de première instance, pièce qui a été établie pour les besoins de la procédure. En outre, contrairement à ce que soutient la recourante, on ne saurait déduire l'existence de conditions suspensives pour le versement des intérêts du fait que le paiement régulier de ceux-ci durant les années 2010 à 2015 aurait eu pour conséquence de rendre ses résultats financiers déficitaires. La présence d'investissements importants et de fonds étrangers ou encore une augmentation des charges d'exploitation dans les données comptables pour les années en question ne permettent pas de parvenir à une conclusion contraire. Sur la base de ces éléments, la Cour de justice pouvait donc, sans arbitraire, considérer que la recourante n'avait pas réussi à démontrer des circonstances de fait permettant de retenir l'existence de conditions suspensives liées aux contrats de prêt conclus avec ses actionnaires. Le Tribunal fédéral statuera donc exclusivement sur la base des faits retenus par la Cour de justice. III. Impôt fédéral direct</w:t>
      </w:r>
    </w:p>
    <w:p>
      <w:r>
        <w:rPr>
          <w:b/>
        </w:rPr>
        <w:t>E. 4</w:t>
      </w:r>
    </w:p>
    <w:p>
      <w:r>
        <w:t>La recourante soutient que la Cour de justice aurait dû admettre la déductibilité des intérêts dus pour les années 2010 à 2015 s'agissant des prêts contractés auprès de ses actionnaires, dans le cadre de la taxation pour l'exercice fiscal 2016.</w:t>
      </w:r>
    </w:p>
    <w:p>
      <w:r>
        <w:rPr>
          <w:b/>
        </w:rPr>
        <w:t>E. 4.1</w:t>
      </w:r>
    </w:p>
    <w:p>
      <w:r>
        <w:t>Selon l' art. 58 al. 1 LIFD , le bénéfice net imposable de la société comprend en particulier le solde du compte de résultats (let. a) et tous les prélèvements opérés sur le résultat commercial avant le calcul du solde du compte de résultats, qui ne servent pas à couvrir des dépenses justifiées par l'usage commercial (let. b). L' art. 58 al. 1 let. a LIFD énonce le principe de l'autorité du bilan commercial (ou principe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peut donc s'écarter du bilan remis par le contribuable lorsque des dispositions impératives du droit commercial sont violées ou que des normes fiscales correctrices l'exigent ( ATF 141 II 83 consid. 3.1; 137 II 353 consid. 6.2; arrêt 2C_857/2020 du 11 février 2021 consid. 4.1). Selon ce principe, le contribuable est lié à la situation patrimoniale de la période fiscale, telle qu'elle ressort des livres de compte régulièrement établis (arrêts 2C_857/2020 du 11 février 2021 consid. 4.1; 2C_98/2019 du 23 septembre 2019 consid. 5.2; 2C_490/2016 du 25 août 2017 consid. 5.1 et les références). Selon l' art. 958 CO (pour la société anonyme, plus particulièrement, les art. 662 ss CO ), toute personne astreinte à tenir des livres doit dresser un inventaire, un compte d'exploitation et un bilan à la fin de chaque exercice annuel. Le principe de périodicité implique que la totalité du bénéfice et des frais tombant dans une période donnée lui soit attribuée temporellement (cf. ATF 137 II 353 consid. 6.4.4; arrêts 2C_281/2019 du 26 septembre 2019 consid. 6; 2C_1018/2015 du 2 novembre 2017 consid. 9.4.2). Ce principe défend à l'entreprise assujettie à l'impôt sur le bénéfice net de compenser entre eux, à son bon vouloir, les résultats des différentes périodes de calcul, de sorte à augmenter ou diminuer ceux afférents à une période déterminée en faveur ou à charge d'une autre période fiscale ( ATF 137 II 353 consid. 6.4.4; arrêts 2C_972/2018 du 2 octobre 2019 consid. 4.5; 2C_281/2019 du 26 septembre 2019 consid. 6). Le principe, selon lequel les frais fonctionnellement rattachés à un exercice doivent être imputés au bénéfice de cet exercice, est lié au principe de réalisation qui détermine le moment où un revenu peut et doit être comptabilisé (cf. ATF 137 II 353 consid. 6.4.4). Un produit est ainsi inscrit au compte de résultats lorsque la société acquiert une prétention juridique ferme et exécutable envers sa contrepartie (arrêt 2C_907/2012 du 22 mai 2013 consid. 5.2.2; sur le principe de réalisation en lien avec les impôts sur le revenu, cf. ATF 146 II 97 consid. 2.2.3; arrêts 2C_1035/2020 du 12 novembre 2021 consid. 5.1; 2C_710/2017 du 29 octobre 2018 consid. 5.3 et les références citées). Selon la jurisprudence, le moment de l'échéance des intérêts est en principe déterminant du point de vue de la réalisation d'un revenu, puisque le créancier acquiert dès ce moment-là une prétention ferme à l'endroit du débiteur (cf. arrêt 2C_710/2017 du 29 octobre 2018 consid. 5.4). Par contre, lorsque l'acte juridique générateur de droits et d'obligations, auquel le contribuable est partie, est soumis à une condition suspensive, les actifs et passifs qui en découlent ne peuvent être comptabilisés que lorsque la condition suspensive est réalisée (cf. arrêt 2C_705/2017 du 10 août 2018 consid. 2.2.2).</w:t>
      </w:r>
    </w:p>
    <w:p>
      <w:r>
        <w:rPr>
          <w:b/>
        </w:rPr>
        <w:t>E. 4.2</w:t>
      </w:r>
    </w:p>
    <w:p>
      <w:r>
        <w:t>Le défaut de comptabilisation d'un élément nécessaire revient, en principe, à violer une norme impérative du droit commercial et justifie une correction du bilan par les autorités fiscales ( ATF 137 II 353 consid. 6.4.4; 136 II 88 consid. 3.1; arrêt 2C_972/2018 du 2 octobre 2019 consid. 4.5).</w:t>
      </w:r>
    </w:p>
    <w:p>
      <w:r>
        <w:rPr>
          <w:b/>
        </w:rPr>
        <w:t>E. 4.3</w:t>
      </w:r>
    </w:p>
    <w:p>
      <w:r>
        <w:t>Une créance est grevée d'une condition suspensive lorsque sa validité ou certains de ces effets découlent d'un fait futur incertain dans l'esprit des parties; le principe même de l'obligation qui en découle pour le débiteur, ainsi que la date de son exécution sont donc également incertains (cf. 151 al. 1 CO; ATF 135 III 433 consid. 3.1; arrêts 2C_195/2016 du 26 septembre 2016 consid. 2.2.3; 5A_328/2013 du 4 novembre 2013 consid. 5.4.3). La créance ne produit d'effets qu'à compter du moment où la condition suspensive s'accomplit, si les parties n'ont pas manifesté une intention contraire (cf. art. 151 al. 2 CO ). La condition n'est, en principe, soumise à aucune forme et peut donc être expresse ou tacite, c'est-à-dire résulter de l'interprétation du contrat, des circonstances ou du contexte (cf. PASCAL PICHONNAZ, in Commentaire romand, Code des obligations I, 3e éd. 2021, no 2 ad art. 151; MARKUS WIDMER / RENATO COSTANTINI / FELIX R. EHRAT, in Basler Kommentar Obligationenrecht I, 7e éd. 2020, no 15 ad "Vor Art. 151-157"; HEINRICH HONSELL, in Kurzkommentar Obligationenrecht, 2014, no 9 ad art. 151).</w:t>
      </w:r>
    </w:p>
    <w:p>
      <w:r>
        <w:rPr>
          <w:b/>
        </w:rPr>
        <w:t>E. 4.4</w:t>
      </w:r>
    </w:p>
    <w:p>
      <w:r>
        <w:t>En matière fiscale, les règles générales relatives à la répartition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 ATF 146 II 6 consid. 4.2 et les références; 144 II 427 consid. 8.3.1; 140 II 248 consid. 3.5; 133 II 153 consid. 4.3). Savoir si un fait est ou non prouvé relève de l'établissement des faits, alors que la répartition du fardeau de la preuve est une question de droit (cf. arrêts 2C_1087/2018 du 29 juillet 2019 consid. 4.1; 2C_582/2017 du 23 février 2018 consid. 5.1; 2C_180/2013 du 5 novembre 2013 consid. 11.1; 5A_118/2012 du 20 avril 2012 consid. 3.2).</w:t>
      </w:r>
    </w:p>
    <w:p>
      <w:r>
        <w:rPr>
          <w:b/>
        </w:rPr>
        <w:t>E. 4.5</w:t>
      </w:r>
    </w:p>
    <w:p>
      <w:r>
        <w:t>La charge de la preuve d'éléments propres à établir l'existence d'une condition suspensive en l'espèce incombait à la recourante. Il ressort des faits retenus par la Cour de justice d'une manière dénuée d'arbitraire (cf. supra consid. 3) que les intérêts étaient dus durant les années 2010 à 2015, comme la fiduciaire de la recourante l'avait du reste elle-même soutenu dans un premier temps. Aucun élément de fait ne permettait de retenir que les parties aux contrats de prêt avaient eu la volonté de soumettre le principe du paiement des intérêts annuels à un quelconque événement futur incertain (cf. art. 1 al. 1 CO ). Partant, la naissance de l'obligation de payer les intérêts dus pour les années 2010 à 2015 était ainsi intervenue au terme de chaque exercice comptable y relatif. Conformément au principe de la périodicité précédemment exposé, c'est à juste titre que la Cour de justice s'est écartée des documents comptables dressés par la recourante et a refusé d'autoriser pour l'exercice fiscal 2016 la déduction des intérêts dus pour les années 2010 à 2015.</w:t>
      </w:r>
    </w:p>
    <w:p>
      <w:r>
        <w:rPr>
          <w:b/>
        </w:rPr>
        <w:t>E. 4.6</w:t>
      </w:r>
    </w:p>
    <w:p>
      <w:r>
        <w:t>Compte tenu de ce qui précède, le recours doit être rejeté en tant qu'il concerne l'IFD. IV. Impôts cantonal et communal</w:t>
      </w:r>
    </w:p>
    <w:p>
      <w:r>
        <w:rPr>
          <w:b/>
        </w:rPr>
        <w:t>E. 5</w:t>
      </w:r>
    </w:p>
    <w:p>
      <w:r>
        <w:t>S'agissant de l'imposition sur le bénéfice, la teneur des art. 57 et 58 al. 1 LIFD correspond à celle de l' art. 24 al. 1 LHID , ainsi que des art. 11 et 12 al. 1 let . d de la loi genevoise sur l'imposition des personnes morales du 23 septembre 1994 (LIPM/GE; RS/GE D 3 15). Partant, les considérations développées pour l'IFD s'appliquent aussi aux ICC. Le recours doit ainsi également être rejeté en tant qu'il concerne les ICC. V. Frais et dépens</w:t>
      </w:r>
    </w:p>
    <w:p>
      <w:r>
        <w:rPr>
          <w:b/>
        </w:rPr>
        <w:t>E. 6</w:t>
      </w:r>
    </w:p>
    <w:p>
      <w:r>
        <w:t>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