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666/2018 vom 10. September 2018</w:t>
      </w:r>
    </w:p>
    <w:p>
      <w:r>
        <w:t>Bundesgericht, 2018-09-10, DE</w:t>
      </w:r>
    </w:p>
    <w:p>
      <w:r>
        <w:rPr>
          <w:b/>
        </w:rPr>
        <w:t xml:space="preserve">Quelle: </w:t>
      </w:r>
      <w:r>
        <w:t>https://mcp.opencaselaw.ch/entscheid/bger_2C_666_2018</w:t>
      </w:r>
    </w:p>
    <w:p>
      <w:r>
        <w:t>FR: TF 2C 666/2018 du 10 septembre 2018</w:t>
      </w:r>
    </w:p>
    <w:p>
      <w:r>
        <w:t>IT: TF 2C 666/2018 del 10 settembre 2018</w:t>
      </w:r>
    </w:p>
    <w:p>
      <w:pPr>
        <w:pStyle w:val="Heading2"/>
      </w:pPr>
      <w:r>
        <w:t>Regeste</w:t>
      </w:r>
    </w:p>
    <w:p>
      <w:r>
        <w:t>Staats- und Gemeindesteuern des Kantons Zürich und direkte Bundessteuer, Steuerperioden 2010 und 2011 (3. Rechtsgang) | Öffentliche Finanzen &amp; Abgaberecht</w:t>
      </w:r>
    </w:p>
    <w:p>
      <w:pPr>
        <w:pStyle w:val="Heading2"/>
      </w:pPr>
      <w:r>
        <w:t>Erwägungen</w:t>
      </w:r>
    </w:p>
    <w:p>
      <w:r>
        <w:rPr>
          <w:b/>
        </w:rPr>
        <w:t>E. 1.1</w:t>
      </w:r>
    </w:p>
    <w:p>
      <w:r>
        <w:t>Die Voraussetzungen der Beschwerde in öffentlich-rechtlichen Angelegenheiten sind gegeben (Art. 82 lit. a, Art. 83 e contrario , Art. 86 Abs. 1 lit. d und Abs. 2, Art. 89 Abs. 1, Art. 90 und Art. 100 Abs. 1 BGG in Verbindung mit Art. 146 DBG [SR 642.11] und Art. 73 StHG [SR 642.14]).</w:t>
      </w:r>
    </w:p>
    <w:p>
      <w:r>
        <w:rPr>
          <w:b/>
        </w:rPr>
        <w:t>E. 1.2</w:t>
      </w:r>
    </w:p>
    <w:p>
      <w:r>
        <w:t>Das Bundesgericht prüft das Bundesrecht von Amtes wegen ( Art. 106 Abs. 1 BGG ; BGE 143 V 19 E. 2.3 S. 23 f.) und mit uneingeschränkter (voller) Kognition ( Art. 95 lit. a BGG ; BGE 141 V 234 E. 2 S. 236).</w:t>
      </w:r>
    </w:p>
    <w:p>
      <w:r>
        <w:rPr>
          <w:b/>
        </w:rPr>
        <w:t>E. 1.3</w:t>
      </w:r>
    </w:p>
    <w:p>
      <w:r>
        <w:t>Im Unterschied dazu geht das Bundesgericht der angeblichen Verletzung verfassungsmässiger Individualrechte (unter Einschluss der Grundrechte) und des rein kantonalen Rechts nur nach, falls eine solche Rüge in der Beschwerde überhaupt vorgebracht und ausreichend begründet worden ist ( Art. 106 Abs. 2 BGG ; qualifizierte Rüge- und Begründungsobliegenheit; BGE 143 II 283 E. 1.2.2 S. 286).</w:t>
      </w:r>
    </w:p>
    <w:p>
      <w:r>
        <w:rPr>
          <w:b/>
        </w:rPr>
        <w:t>E. 1.4</w:t>
      </w:r>
    </w:p>
    <w:p>
      <w:r>
        <w:t>Das Bundesgericht legt seinem Urteil grundsätzlich den Sachverhalt zugrunde, den die Vorinstanz festgestellt hat ( Art. 105 Abs. 1 BGG ; BGE 143 IV 500 E. 1.1 S. 503). II. Direkte Bundessteuer</w:t>
      </w:r>
    </w:p>
    <w:p>
      <w:r>
        <w:rPr>
          <w:b/>
        </w:rPr>
        <w:t>E. 2.1</w:t>
      </w:r>
    </w:p>
    <w:p>
      <w:r>
        <w:t>Angefochten ist ein Nichteintretensentscheid. Die Vorinstanz begründet das Nichteintreten damit, dass bis zum Fristablauf am Montag, 29. Januar 2018 keine rechtsgenüglich begründete Beschwerde eingereicht worden sei, was im Übrigen auch der Steuerpflichtige einräume. Streitgegenstand kann in einem Rechtsmittelverfahren nur sein, was die Vorinstanz überhaupt entschieden hat oder zu entscheiden gehabt hätte. Der Streitgegenstand kann im Laufe des Rechtsmittelverfahrens zwar eingeschränkt ( minus ), nicht aber ausgeweitet ( plus ) oder geändert ( aliud ) werden ( Art. 99 Abs. 2 BGG [SR 173.110]; BGE 143 V 19 E. 1.1 S. 22). Soweit der Steuerpflichtige daher bezüglich der Steuerperiode 2011 auf Fragen der materiellen Veranlagung (Schuldzinsen- bzw. Schuldenabzug usw.) eingeht, sprengt dies den Streitgegenstand und ist dies im bundesgerichtlichen Verfahren nicht zu hören.</w:t>
      </w:r>
    </w:p>
    <w:p>
      <w:r>
        <w:rPr>
          <w:b/>
        </w:rPr>
        <w:t>E. 2.2.1</w:t>
      </w:r>
    </w:p>
    <w:p>
      <w:r>
        <w:t>Nach den für das Bundesgericht verbindlichen Feststellungen der Vorinstanz ( Art. 105 Abs. 1 BGG ; vorne E. 1.4), die der Steuerpflichtige insoweit nicht bestreitet, publizierte das Steuerrekursgericht des Kantons Zürich seinen Entscheid vom 21. Dezember 2017 im Amtsblatt des Kantons Zürich vom 29. Dezember 2017 (Sachverhalt, lit. B). Die Vorinstanz schloss daraus, die 30-tägige Frist sei am Montag, 29. Januar 2018 verstrichen, weshalb die ergänzte Fassung der Beschwerde vom 5. Februar 2018 mangels gewahrter Frist unbeachtlich bleibe. Der Steuerpflichtige erhebt an sich keine Einwendungen gegen die Publikation im Amtsblatt, hatte er doch - wiederum nach den vorinstanzlichen Feststellungen - bei Entscheidfällung des Urteils vom 21. Dezember 2017 keine inländische Vertretung bezeichnet (auch dazu Sachverhalt, lit. B). Im bundesgerichtlichen Verfahren bemängelt er - entgegen den kantonalen Verfahren - auch nicht mehr, dass das Urteil vom 21. Dezember 2017 nur auszugsweise (nämlich beschränkt auf das Dispositiv) veröffentlicht worden ist.</w:t>
      </w:r>
    </w:p>
    <w:p>
      <w:r>
        <w:rPr>
          <w:b/>
        </w:rPr>
        <w:t>E. 2.2.2</w:t>
      </w:r>
    </w:p>
    <w:p>
      <w:r>
        <w:t>Der Steuerpflichtige macht hingegen geltend, auch im Fall der amtlichen Publikation sei die siebentägige Frist, wie sie im Bereich der Zustellung eingeschriebener Briefpost herrscht, zu beachten. Dies führt nach seiner Berechnung zu einem Fristablauf am Montag, 5. Februar 2018. Entsprechend seien die beiden Eingaben vom 29. Januar 2018 und auch jene vom 5. Februar 2018 fristgerecht erfolgt. Gemäss bundesgerichtlicher Rechtsprechung beginne die Frist sieben Tage nach dem erfolglosen Zustellungsversuch zu laufen und nicht etwa gleich am Tag des Zustellungsversuchs. Stelle man bei amtlicher Publikation aber auf den Tag der Veröffentlichung ab, habe dies eine Verkürzung der Frist zur Folge, wodurch die Auslandschweizer diskriminiert würden. Zudem seien die "angeblich fehlenden Unterschriften der per E-Mail nach V.________ gesandten Schriftsätze" in späteren Schriftsätzen "mehrfach nachgeliefert" worden, so am 5., 7. und 14. Februar 2018.</w:t>
      </w:r>
    </w:p>
    <w:p>
      <w:r>
        <w:rPr>
          <w:b/>
        </w:rPr>
        <w:t>E. 2.2.3</w:t>
      </w:r>
    </w:p>
    <w:p>
      <w:r>
        <w:t>Gemäss Art. 116 Abs. 2 DBG kann eine Verfügung oder ein Entscheid rechtswirksam durch Publikation im kantonalen Amtsblatt eröffnet werden, wenn der Aufenthalt einer steuerpflichtigen Person unbekannt ist oder sie sich im Ausland befindet, ohne in der Schweiz einen Vertreter zu haben. Streitig bleibt in diesem Zusammenhang einzig noch, wann der Fristenlauf einsetzte. Dem Steuerpflichtigen ist insofern zuzustimmen, als Art. 116 Abs. 2 DBG hierzu keine Bestimmung entnommen werden kann. In der Literatur wird indes einhellig die Auffassung vertreten, die Zustellung gelte diesfalls als am Tag der Veröffentlichung erfolgt (LYDIA MASMEJEAN-FEY/ANTOINE BERTHOUD, in: Yves Noël/Florence Aubry Girardin [Hrsg.], Commentaire romand zum LIFD, 2. Aufl. 2017 [nachfolgend: CR LIFD], N. 18b zu Art. 116 DBG ; FELIX RICHNER/WALTER FREI/STEFAN KAUFMANN/HANS ULRICH MEUTER, Handkommentar zum DBG, 3. Aufl. 2016, N. 46 zu Art. 116 DBG ; PETER LOCHER, Kommentar DBG, III. Teil, 2015, N. 52 zu Art. 116 DBG ). Dies kann praxisgemäss aus Art. 36 des Bundesgesetzes vom 20. Dezember 1968 über das Verwaltungsverfahren (VwVG; SR 172.021) hergeleitet werden (dazu FELIX UHLMANN/ALEXANDRA SCHILLING-SCHWANK, in: Bernhard Waldmann/Philipp Weissenberger [Hrsg.], Praxiskommentar VwVG, 2. Aufl. 2016, N. 6 zu Art. 36 VwVG ), der kraft Art. 1 Abs. 2 lit. e bzw. Abs. 3 VwVG anwendbar ist ( BGE 119 Ib 429 E. 2a S. 430; ERNST KÄNZIG/URS R. BEHNISCH, Die direkte Bundessteuer, III. Teil, 2. Aufl., 1992, N. 10 zu Art. 74 BdBSt ).</w:t>
      </w:r>
    </w:p>
    <w:p>
      <w:r>
        <w:rPr>
          <w:b/>
        </w:rPr>
        <w:t>E. 2.2.4</w:t>
      </w:r>
    </w:p>
    <w:p>
      <w:r>
        <w:t>Damit erfolgte die Eingabe vom 5. Februar 2018 verspätet, was die Vorinstanz bundesrechtskonform erkannte. Es erübrigt sich daher, der Frage nachzugehen, ob in diesem Fall von einer rechtsgenüglichen Begründung (Art. 140 Abs. 2 in Verbindung mit Art. 145 Abs. 2 DBG ; Urteile 2C_550/2007 vom 25. Februar 2008 E. 5; 2A.418/2006 vom 21. November 2006 E. 4.2) ausgegangen werden könnte. Die Vorinstanz hat von Amtes wegen die Frage aufgeworfen, ob dem Steuerpflichtigen eine Nachfrist zur Verbesserung seiner Eingabe vom 29. Januar 2018 anzusetzen sei. Gemäss Art. 140 Abs. 2 Satz 2 in Verbindung mit Art. 145 Abs. 2 DBG wird der steuerpflichtigen Person - unter Androhung des Nichteintretens - eine angemessene Frist zur Verbesserung der Beschwerde angesetzt, wenn diese ansonsten den formellen Anforderungen ( Art. 140 Abs. 2 Satz 1 DBG ) nicht entspricht. Die Nachfrist ist als Rechtswohltat zugunsten rechtunkundiger und prozessual unerfahrener steuerpflichtiger Personen konzipiert, um diese vor den Folgen einer andernfalls mangelhaften Prozessführung zu bewahren (SILVIA HUNZIKER/JSABELLE MAYER-KNOBEL, in: Martin Zweifel/Michael Beusch [Hrsg.], Kommentar DBG, 3. Aufl. 2017, N. 48 zu Art. 140 DBG ).</w:t>
      </w:r>
    </w:p>
    <w:p>
      <w:r>
        <w:rPr>
          <w:b/>
        </w:rPr>
        <w:t>E. 2.2.5</w:t>
      </w:r>
    </w:p>
    <w:p>
      <w:r>
        <w:t>Eine Nachfrist ist von vornherein nicht anzusetzen, wenn die beschwerdeführende steuerpflichtige Person sich innert Frist auf eine mangelhafte Beschwerde beschränkt, um in Erwartung einer Nachfrist eine Verlängerung der Beschwerdefrist herbeizuführen. Hinzu kommt ein weiterer Aspekt: Erhebt die steuerpflichtige Person Einsprache oder Beschwerde, so reicht es nicht aus, innert der 30-tägigen Rechtsmittelfrist lediglich darzutun, man werde in einem späteren Zeitpunkt materiell Stellung nehmen. Da es sich bei der Einsprache- und Beschwerdefrist um eine gesetzliche oder peremptorische Frist und damit eine Verwirkungsfrist handelt, geht das materielle oder prozessuale Recht insgesamt unter, falls nicht sämtliche Sachurteilsvoraussetzungen innerhalb der 30 Tage erfüllt werden (Urteil 2C_372/2016 / 2C_374/2016 vom 7. Juni 2016 E. 3.3.1 mit Hinweisen, in: ASA 85 S. 78, RDAF 2017 II 187, StR 71/2016 S. 877). Umso mehr postuliert die Literatur, Beschwerden, die keinerlei Begründung enthielten, seien von vornherein keiner Nachfrist zugänglich (HUGO CASANOVA/CLAUDE-EMMANUEL DUBEY, in: CR LIFD, N. 25 zu Art. 140 DBG ).</w:t>
      </w:r>
    </w:p>
    <w:p>
      <w:r>
        <w:rPr>
          <w:b/>
        </w:rPr>
        <w:t>E. 2.2.6</w:t>
      </w:r>
    </w:p>
    <w:p>
      <w:r>
        <w:t>Der Steuerpflichtige hat in seiner Beschwerde vom 29. Januar 2018 erklärt, es sei ihm nicht möglich, die "Einsprachen" zu begründen und präzise Anträge zu formulieren, da das Generalkonsulat bald schliesse. Zudem beginne die Frist ohnehin erst am 5. Januar 2018 zu laufen. Es war ihm also vollauf bewusst, dass Anträge/Begründung nötig sind, er wollte die Frist vom 29. Januar 2018 aber bewusst nicht einhalten. Die Vorinstanz hat damit bundesrechtskonform erkannt, die Eingabe vom 29. Januar 2018 sei ungenügend begründet, es sei keine Nachfrist anzusetzen und auf die Beschwerde nicht einzutreten.</w:t>
      </w:r>
    </w:p>
    <w:p>
      <w:r>
        <w:rPr>
          <w:b/>
        </w:rPr>
        <w:t>E. 2.3</w:t>
      </w:r>
    </w:p>
    <w:p>
      <w:r>
        <w:t>Soweit die direkte Bundessteuer betreffend, ist die Beschwerde daher unbegründet und abzuweisen. III. Staats- und Gemeindesteuer des Kantons Zürich</w:t>
      </w:r>
    </w:p>
    <w:p>
      <w:r>
        <w:rPr>
          <w:b/>
        </w:rPr>
        <w:t>E. 3.1</w:t>
      </w:r>
    </w:p>
    <w:p>
      <w:r>
        <w:t>Die Zustellung einer Verfügung und die ersatzweise Publikation im Amtsblatt finden im harmonisierten Steuerrecht von Kantonen und Gemeinden keinen Niederschlag. Es ist damit das jeweilige kantonale Verfahrensrecht massgebend. Im Fall des streitbetroffenen Kantons sind dies § 11 Abs. 1 der Verordnung [des Kantons Zürich] vom 1. April 1998 zum Steuergesetz (StV/ZH; LS 631.11) bzw. allgemeiner § 6b des Verwaltungsrechtspflegegesetzes [des Kantons Zürich] vom 24. Mai 1959 (VRG/ZH; LS 175.2). Ebenso wenig sieht das StHG eine Norm zur Nachfrist vor (CASANOVA/DUBEY, in: CR LIFD, N. 25 zu Art. 140 DBG ). Im Kanton Zürich ergibt sich eine solche aus § 147 Abs. 4 Satz 1 in Verbindung mit § 153 Abs. 4 des Steuergesetzes [des Kantons Zürich] vom 8. Juni 1997 (StG/ZH; LS 631.1).</w:t>
      </w:r>
    </w:p>
    <w:p>
      <w:r>
        <w:rPr>
          <w:b/>
        </w:rPr>
        <w:t>E. 3.2</w:t>
      </w:r>
    </w:p>
    <w:p>
      <w:r>
        <w:t>Die genannten Bestimmungen sind rein kantonalrechtlicher Natur, was zur auf die Verletzung verfassungsmässiger Individualrechte beschränkten Kognition führt ( Art. 106 Abs. 2 BGG ; vorne E. 1.3). Abgesehen davon, dass der Steuerpflichtige im bundesgerichtlichen Verfahren nichts vorbringt, was der qualifizierten Rüge- und Begründungsobliegenheit genügen könnte, erweist sich die vorinstanzliche Auslegung und Anwendung des kantonalen Rechts jedenfalls nicht als unhaltbar (vgl. zum kantonalen Recht auch Urteil 2C_148/2013 vom 2. Mai 2013 E. 4.1 mit Hinweisen).</w:t>
      </w:r>
    </w:p>
    <w:p>
      <w:r>
        <w:rPr>
          <w:b/>
        </w:rPr>
        <w:t>E. 3.3</w:t>
      </w:r>
    </w:p>
    <w:p>
      <w:r>
        <w:t>Die Beschwerde ist auch im kantonalrechtlichen Punkt unbegründet und abzuweisen, soweit darauf mangels hinreichender Begründung überhaupt einzutreten ist. IV. Kosten und Entschädigung</w:t>
      </w:r>
    </w:p>
    <w:p>
      <w:r>
        <w:rPr>
          <w:b/>
        </w:rPr>
        <w:t>E. 4.1</w:t>
      </w:r>
    </w:p>
    <w:p>
      <w:r>
        <w:t>Nach dem Unterliegerprinzip sind die Kosten des bundesgerichtlichen Verfahrens dem Steuerpflichtigen aufzuerlegen (Art. 65 in Verbindung mit Art. 66 Abs. 1 Satz 1 BGG ).</w:t>
      </w:r>
    </w:p>
    <w:p>
      <w:r>
        <w:rPr>
          <w:b/>
        </w:rPr>
        <w:t>E. 4.2</w:t>
      </w:r>
    </w:p>
    <w:p>
      <w:r>
        <w:t>Dem Kanton Zürich, der in seinem amtlichen Wirkungskreis obsiegt, ist keine Parteientschädigung auszurichten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