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2C_664/2009 vom 25. Februar 2010</w:t>
      </w:r>
    </w:p>
    <w:p>
      <w:r>
        <w:t>Bundesgericht, 2010-02-25, FR</w:t>
      </w:r>
    </w:p>
    <w:p>
      <w:r>
        <w:rPr>
          <w:b/>
        </w:rPr>
        <w:t xml:space="preserve">Quelle: </w:t>
      </w:r>
      <w:r>
        <w:t>https://mcp.opencaselaw.ch/entscheid/bger_2C_664_2009</w:t>
      </w:r>
    </w:p>
    <w:p>
      <w:r>
        <w:t>FR: TF 2C_664/2009 du 25 février 2010</w:t>
      </w:r>
    </w:p>
    <w:p>
      <w:r>
        <w:t>IT: TF 2C_664/2009 del 25 febbraio 2010</w:t>
      </w:r>
    </w:p>
    <w:p>
      <w:pPr>
        <w:pStyle w:val="Heading2"/>
      </w:pPr>
      <w:r>
        <w:t>Erwägungen</w:t>
      </w:r>
    </w:p>
    <w:p>
      <w:r>
        <w:rPr>
          <w:b/>
        </w:rPr>
        <w:t>E. 1</w:t>
      </w:r>
    </w:p>
    <w:p>
      <w:r>
        <w:t>Le recours en matière de droit public est en principe recevable contre une décision du Tribunal administratif fédéral rendue dans une cause de droit public (art. 82 let. a, 86 al. 1 let. a LTF). Ce recours est exclu contre une décision prise en matière de droit des étrangers et concernant l'entrée en Suisse ( art. 83 let . c ch. 1 LTF), sauf à l'égard des étrangers auxquels une double instance de recours est garantie par l'art. 11 al. 3 de l'Accord entre la Confédération suisse, d'une part, et la Communauté européenne et ses Etats membres, d'autre part, sur la libre circulation des personnes (ci-après: l'Accord ou ALCP; RS 0.142.112.681; arrêt 2C_378/2007 du 14 janvier 2008, consid. 2.1, RtiD 2008 II 179; ATF 131 II 352 consid. 1 p. 353).</w:t>
      </w:r>
    </w:p>
    <w:p>
      <w:r>
        <w:t>Les ressortissants français bénéficient de l'Accord et, en particulier, de l' art. 11 al. 3 ALCP , de sorte que l' art. 83 let . c ch. 1 LTF n'est pas opposable au recourant. Les conditions de forme et de délai du recours sont par ailleurs observées.</w:t>
      </w:r>
    </w:p>
    <w:p>
      <w:r>
        <w:rPr>
          <w:b/>
        </w:rPr>
        <w:t>E. 2</w:t>
      </w:r>
    </w:p>
    <w:p>
      <w:r>
        <w:t>Le recours est ouvert pour violation du droit fédéral ou international ( art. 95 let. a et b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t>En l'espèce, le recourant tient l'ensemble des constatations de fait pour arbitraires. Il ne discute précisément qu'un point - son épouse avait-elle connaissance de l'interdiction d'entrer en Suisse au moment où tous deux ont « décidé de fonder une famille » ? - dépourvu d'incidence sur l'issue du recours; pour le surplus, il n'élève qu'une simple protestation générale. Ce grief est donc irrecevable au regard des exigences précitées.</w:t>
      </w:r>
    </w:p>
    <w:p>
      <w:r>
        <w:rPr>
          <w:b/>
        </w:rPr>
        <w:t>E. 3</w:t>
      </w:r>
    </w:p>
    <w:p>
      <w:r>
        <w:t>La loi fédérale sur le séjour et l'établissement des étrangers (LSEE), remplacée depuis le 1er janvier 2008 par la loi fédérale sur les étrangers (LEtr; RS 142.20), continue de déterminer l'issue des procédures introduites d'office ou sur demande avant cette date (art. 126 al. 1 LEtr; arrêt 2C_329/2009 du 14 septembre 2009, consid. 2.1). L'interdiction d'entrée du 18 novembre 2005 sera donc contrôlée, en tant que le droit interne est déterminant, au regard de la loi ancienne.</w:t>
      </w:r>
    </w:p>
    <w:p>
      <w:r>
        <w:t>Aux termes de l' art. 1er let. a LSEE , cette loi n'est applicable aux ressortissants des Etats membres de la Communauté européenne et aux membres de leur famille que si l'Accord n'en dispose pas autrement, ou si ladite loi prévoit des dispositions plus favorables.</w:t>
      </w:r>
    </w:p>
    <w:p>
      <w:r>
        <w:rPr>
          <w:b/>
        </w:rPr>
        <w:t>E. 4</w:t>
      </w:r>
    </w:p>
    <w:p>
      <w:r>
        <w:t>Selon l' art. 3 ALCP , le droit d'entrée sur le territoire suisse est garanti aux ressortissants européens conformément aux dispositions de l'annexe I qui est partie intégrante de l'Accord ( art. 15 ALCP ).</w:t>
      </w:r>
    </w:p>
    <w:p>
      <w:r>
        <w:rPr>
          <w:b/>
        </w:rPr>
        <w:t>E. 4.1</w:t>
      </w:r>
    </w:p>
    <w:p>
      <w:r>
        <w:t>A l'instar des autres droits conférés par l'Accord, le droit d'entrée ne peut être limité que par des mesures d'ordre ou de sécurité publics, aux termes de l' art. 5 par. 1 annexe I ALCP , dont le cadre et les modalités sont définis par la directive 64/221/CEE et la jurisprudence y relative de la Cour de justice de l'Union européenne; cf. art. 5 par. 2 annexe I ALCP en relation avec l' art. 16 al. 2 ALCP ; au sujet de la prise en considération des arrêts de la Cour de justice postérieurs à cette date, cf. ATF 130 II 1 consid. 3.6 p. 9 ss, 113 consid. 5.2 p. 119 s. et les références citées).</w:t>
      </w:r>
    </w:p>
    <w:p>
      <w:r>
        <w:t>L'art. 3 par. 1 de la directive 64/221/CEE prévoit que les mesures d'ordre public ou de sécurité publique doivent être fondées exclusivement sur le comportement personnel de l'individu qui en fait l'objet. D'après l'art. 3 par. 2 de ladite directive, la seule existence de condamnations pénales ne peut pas motiver automatiquement de telles mesures. Conformément à la jurisprudence de la Cour de justice, les limites posées au principe de la libre circulation des personnes doivent s'interpréter de manière restrictive. Ainsi, le trouble de l'ordre social que constitue toute infraction à la loi ne suffit pas à justifier le recours, par une autorité nationale, à la notion de « l'ordre public » pour restreindre cette liberté; il faut une menace réelle et d'une certaine gravité, affectant un intérêt fondamental de la société (cf. ATF 130 II 176 consid. 3.4.1 p. 182 et les arrêts cités de la Cour de justice, notamment Bouchereau du 27 octobre 1977, C-30/77, Rec. 1977, p. 1999, ch. 33-35; Orfanopoulos du 29 avril 2004, C-482/01, ch. 66; Commission des Communautés européennes c. Royaume des Pays-Bas du 7 juin 2007, C-50/06, ch. 43).</w:t>
      </w:r>
    </w:p>
    <w:p>
      <w:r>
        <w:t>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Orfanopoulos, ch.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et les arrêts cités de la Cour de justice, notamment Bouchereau, ch. 27 et 28; Commission c. Royaume des Pays-Bas, ch. 41;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 ATF 130 II 176 consid. 3.4.1 p. 183/184 et l'arrêt Bouchereau,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499/500). L'évaluation du risque de récidive sera d'autant plus rigoureuse que le bien juridique menacé est important (cf. ATF 130 II 176 consid. 4.3.1 p. 185/186).</w:t>
      </w:r>
    </w:p>
    <w:p>
      <w:r>
        <w:rPr>
          <w:b/>
        </w:rPr>
        <w:t>E. 4.2</w:t>
      </w:r>
    </w:p>
    <w:p>
      <w:r>
        <w:t>En conséquence de l'agression commise le 22 juillet 2000, le recourant a été jugé coupable de faits constitutifs, en droit suisse, de brigandage selon l' art. 140 ch. 1 CP , et condamné à une lourde peine de cinq ans d'emprisonnement. Le jugement ne mentionne précisément aucune condamnation antérieure mais il y fait clairement allusion en soulignant les « risques évidents de voir les prévenus poursuivre dans la voie d'une délinquance toujours plus chevronnée et plus violente ». La tendance du recourant à la récidive est donc indéniable, et ni la condamnation du 9 août 1998, ni la première interdiction d'entrer en Suisse ne l'ont d'ailleurs dissuadé de persister dans un comportement criminel. Le jugement souligne encore « l'exceptionnelle gravité » des faits, ce qui correspond d'ailleurs à la peine très lourde qui a été prononcée. Quoique les faits remontent à près de dix ans et que, dans l'intervalle, le recourant ait partiellement subi cette peine, on ne peut pas sérieusement nier que sa présence en Suisse constituerait actuellement encore une menace pour l'ordre public. Libéré depuis le 30 mars 2007, le recourant ne prétend pas avoir accompli un quelconque effort de réinsertion et il n'exerce même aucune activité lucrative; selon son exposé, c'est son épouse qui subvient à ses besoins et à ceux de leur fille.</w:t>
      </w:r>
    </w:p>
    <w:p>
      <w:r>
        <w:t>Pour toute argumentation, le recourant n'oppose guère que sa propre opinion à l'appréciation des premiers juges. Il fait valoir que le crime a été perpétré en France et que la condamnation émane d'un tribunal de ce pays; affirmant que « le système de la fixation des peines n'est pas le même en Suisse qu'en France », il demande que l'on n'attache pas « trop d'importance » à la peine prononcée. Il souligne qu'il n'a été condamné qu'en deuxième instance, sur l'appel du Ministère public, après qu'il avait été acquitté faute d'être reconnu comme l'un des deux auteurs de l'agression. Il argue encore de son comportement exemplaire en détention, qui lui a permis d'obtenir la libération conditionnelle. Or, rien de cela ne peut conduire à une évaluation favorable du risque que, en liberté, il représente pour l'ordre public dans le pays où il demande d'être accueilli. En l'état, l'interdiction litigieuse est donc pleinement compatible avec l' art. 5 par. 1 annexe I ALCP et, partant, avec l' art. 3 ALCP .</w:t>
      </w:r>
    </w:p>
    <w:p>
      <w:r>
        <w:t>Il n'y a pas lieu d'examiner par avance si le recourant pourra utilement demander, à supposer que sa conduite ne donne plus lieu à réclamation, que cette mesure d'éloignement soit reconsidérée avant son expiration.</w:t>
      </w:r>
    </w:p>
    <w:p>
      <w:r>
        <w:rPr>
          <w:b/>
        </w:rPr>
        <w:t>E. 4.3</w:t>
      </w:r>
    </w:p>
    <w:p>
      <w:r>
        <w:t>Il n'est pas contesté que le recourant, condamné pour un crime, puisse être tenu pour indésirable aux termes de l' art. 13 al. 1 LSEE et frappé de l'interdiction d'entrée prévue par cette disposition ( ATF 129 IV 246 consid. 3.2 p. 251). Le droit interne ne lui est donc pas plus favorable que l'Accord.</w:t>
      </w:r>
    </w:p>
    <w:p>
      <w:r>
        <w:rPr>
          <w:b/>
        </w:rPr>
        <w:t>E. 5</w:t>
      </w:r>
    </w:p>
    <w:p>
      <w:r>
        <w:t>Invoquant la garantie de la vie privée et familiale conférée par l' art. 8 par. 1 CEDH , le recourant fait valoir que l'interdiction d'entrée l'empêche de vivre en Suisse auprès de son épouse et de leur fille.</w:t>
      </w:r>
    </w:p>
    <w:p>
      <w:r>
        <w:t>A l'instar du refus d'une autorisation de séjour, l'interdiction d'entrer en Suisse peut effectivement comporter une ingérence dans la vie privée et familiale ainsi garantie. Cette protection conventionnelle n'est cependant pas absolue et l'ingérence est admissible au regard de l' art. 8 par. 2 CEDH si elle se révèle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Une pesée des intérêts en présence est donc nécessaire, et il faut d'abord tenir compte, en cas de condamnation d'un étranger pour un crime ou un délit, de la gravité des actes commis ainsi que de sa situation personnelle et familiale. La peine infligée par le juge de la cause pénale est le premier critère pour évaluer la gravité de la faute et pondérer les intérêts.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il n'exclut pas nécessairement, en lui-même, un refus de l'autorisation de séjour. Selon la jurisprudence applicable au conjoint étranger d'un ressortissant suisse, une condamnation à deux ans de privation de liberté constitue la limite à partir de laquelle, en règle générale, il y a lieu de refuser l'autorisation de séjour, du moins quand il s'agit d'une demande d'autorisation initiale ou d'une requête de prolongation d'autorisation déposée après un séjour de courte durée ( ATF 134 II 10 consid. 4.2 et 4.3 p. 23, avec références détaillées; voir aussi ATF 135 I 153 consid. 2.1 p. 154/155).</w:t>
      </w:r>
    </w:p>
    <w:p>
      <w:r>
        <w:t>En l'espèce, l'autorité précédente n'a pas constaté de manière à lier le Tribunal fédéral, selon l' art. 105 al. 1 LTF , qu'il serait objectivement difficile à l'épouse et à la fille du recourant de déménager en France; les allégations que ce dernier développe à ce sujet sont irrecevables et, au demeurant, inconsistantes. De plus, comme on l'a vu, les faits sont très graves et la peine excède largement la durée de deux ans au delà de laquelle, en règle générale, il se justifie de refuser une autorisation de séjour quelles que soient les difficultés d'un regroupement familial à l'étranger. Enfin et surtout, le recourant habitant en France mais à proximité de Genève, l'interdiction d'entrée laisse subsister d'importantes possibilités de contacts familiaux; ainsi garde-t-il l'enfant à son propre domicile pendant que l'épouse exerce son activité professionnelle en Valais. La mesure d'éloignement du territoire est donc aussi compatible avec l' art. 8 CEDH et elle ne contrevient pas au principe de la proportionnalité.</w:t>
      </w:r>
    </w:p>
    <w:p>
      <w:r>
        <w:rPr>
          <w:b/>
        </w:rPr>
        <w:t>E. 6</w:t>
      </w:r>
    </w:p>
    <w:p>
      <w:r>
        <w:t>Le recours se révèle privé de fondement, dans la mesure où les griefs présentés sont recevables; à titre de partie qui succombe, son auteur doit acquitter l'émolument à percevoir par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