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663/2017 vom 28. Juli 2017</w:t>
      </w:r>
    </w:p>
    <w:p>
      <w:r>
        <w:t>Bundesgericht, 2017-07-28, IT</w:t>
      </w:r>
    </w:p>
    <w:p>
      <w:r>
        <w:rPr>
          <w:b/>
        </w:rPr>
        <w:t xml:space="preserve">Quelle: </w:t>
      </w:r>
      <w:r>
        <w:t>https://mcp.opencaselaw.ch/entscheid/bger_2C_663_2017</w:t>
      </w:r>
    </w:p>
    <w:p>
      <w:r>
        <w:t>FR: TF 2C 663/2017 du 28 juillet 2017</w:t>
      </w:r>
    </w:p>
    <w:p>
      <w:r>
        <w:t>IT: TF 2C 663/2017 del 28 luglio 2017</w:t>
      </w:r>
    </w:p>
    <w:p>
      <w:pPr>
        <w:pStyle w:val="Heading2"/>
      </w:pPr>
      <w:r>
        <w:t>Regeste</w:t>
      </w:r>
    </w:p>
    <w:p>
      <w:r>
        <w:t>Imposta cantonale e imposta federale diretta 2014 | Finanze pubbliche &amp; diritto tributario</w:t>
      </w:r>
    </w:p>
    <w:p>
      <w:pPr>
        <w:pStyle w:val="Heading2"/>
      </w:pPr>
      <w:r>
        <w:t>Erwägungen</w:t>
      </w:r>
    </w:p>
    <w:p>
      <w:r>
        <w:rPr>
          <w:b/>
        </w:rPr>
        <w:t>E. 1.1</w:t>
      </w:r>
    </w:p>
    <w:p>
      <w:r>
        <w:t>Il Tribunale federale fonda il suo ragionamento giuridico sull'accertamento dei fatti svolto dall'autorità inferiore ( art. 105 cpv. 1 LTF ). Esso può scostarsene solo se è stato eseguito in violazione del diritto ai sensi dell' art. 95 LTF o in modo manifestamente inesatto.</w:t>
      </w:r>
    </w:p>
    <w:p>
      <w:r>
        <w:rPr>
          <w:b/>
        </w:rPr>
        <w:t>E. 1.2</w:t>
      </w:r>
    </w:p>
    <w:p>
      <w:r>
        <w:t>A meno che non ne dia motivo la decisione querelata, condizione il cui adempimento dev'essere dimostrato dal ricorrente, il Tribunale federale non considera inoltre fatti o mezzi di prova nuovi, i quali non possono in ogni caso essere posteriori al giudizio impugnato ( art. 99 cpv. 1 LTF ; DTF 133 IV 343 consid. 2.1 pag. 343 seg.).</w:t>
      </w:r>
    </w:p>
    <w:p>
      <w:r>
        <w:rPr>
          <w:b/>
        </w:rPr>
        <w:t>E. 2.1</w:t>
      </w:r>
    </w:p>
    <w:p>
      <w:r>
        <w:t>Nel caso in esame l'insorgente basa la sua richiesta di modificare il giudizio impugnato, accettando le spese di viaggio personali da X.________ a Y.________, su nuovi documenti (lettera del datore di lavoro e certificato corretto ad essa accluso). Egli però non spiega perché, giusta l' art. 99 LTF , ciò dovrebbe essergli permesso, venendo così meno all'onere di motivazione che gli incombeva.</w:t>
      </w:r>
    </w:p>
    <w:p>
      <w:r>
        <w:rPr>
          <w:b/>
        </w:rPr>
        <w:t>E. 2.2</w:t>
      </w:r>
    </w:p>
    <w:p>
      <w:r>
        <w:t>Sia come sia, le condizioni per la produzione di documenti giusta l' art. 99 LTF non sono in casu adempiute. La lettera è infatti chiaramente posteriore alla pronuncia della Corte ticinese. La produzione di entrambi i documenti in discussione non è inoltre stata causata dal giudizio impugnato, come richiesto dall' art. 99 cpv. 1 LTF . In base a quanto risulta dal punto D della sentenza della Corte cantonale, il fatto che il datore di lavoro avesse segnato il campo "F" del certificato di salario era stato infatti già indicato nella decisione su reclamo, motivo per cui un eventuale errore del datore di lavoro rispettivamente del contribuente andava semmai fatto valere quando è stata impugnata detta decisione davanti ai Giudici cantonali.</w:t>
      </w:r>
    </w:p>
    <w:p>
      <w:r>
        <w:rPr>
          <w:b/>
        </w:rPr>
        <w:t>E. 3</w:t>
      </w:r>
    </w:p>
    <w:p>
      <w:r>
        <w:t>Per i motivi esposti, il ricorso risulta manifestamente inammissibile e va deciso secondo la procedura semplificata prevista dall' art. 108 LTF . Il Tribunale federale rinuncia a prelevare spese (art. 66 cpv. 1 seconda frase LTF).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