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2C_662/2009 vom 2. Februar 2010</w:t>
      </w:r>
    </w:p>
    <w:p>
      <w:r>
        <w:t>Bundesgericht, 2010-02-02, DE</w:t>
      </w:r>
    </w:p>
    <w:p>
      <w:r>
        <w:rPr>
          <w:b/>
        </w:rPr>
        <w:t xml:space="preserve">Quelle: </w:t>
      </w:r>
      <w:r>
        <w:t>https://mcp.opencaselaw.ch/entscheid/bger_2C_662_2009</w:t>
      </w:r>
    </w:p>
    <w:p>
      <w:r>
        <w:t>FR: TF 2C_662/2009 du 2 février 2010</w:t>
      </w:r>
    </w:p>
    <w:p>
      <w:r>
        <w:t>IT: TF 2C_662/2009 del 2 febbraio 2010</w:t>
      </w:r>
    </w:p>
    <w:p>
      <w:pPr>
        <w:pStyle w:val="Heading2"/>
      </w:pPr>
      <w:r>
        <w:t>Erwägungen</w:t>
      </w:r>
    </w:p>
    <w:p>
      <w:r>
        <w:rPr>
          <w:b/>
        </w:rPr>
        <w:t>E. 1</w:t>
      </w:r>
    </w:p>
    <w:p>
      <w:r>
        <w:t>Nach Art. 94 BGG kann gegen das unrechtmässige Verweigern oder Verzögern eines anfechtbaren Entscheids Beschwerde geführt werden. Erforderlich ist allerdings, dass die allgemeinen Beschwerdevoraussetzungen erfüllt sind. Namentlich darf der verweigerte oder verzögerte Entscheid kein Rechtsgebiet betreffen, das vom Ausnahmenkatalog in Art. 83 BGG erfasst wird. Ebenso müssen die Beschwerdelegitimation ( Art. 89 BGG ) und die Ausschöpfung des kantonalen Instanzenzuges ( Art. 86 BGG ) gegeben sein, und die Beschwerdeschrift muss den Anforderungen von Art. 42 BGG genügen. Ob die genannten Eintretensvoraussetzungen im vorliegenden Fall erfüllt sind, kann offen bleiben, zumal sich die Beschwerde in jedem Fall als offensichtlich unbegründet erweist, wie die nachfolgenden Erwägungen zeigen.</w:t>
      </w:r>
    </w:p>
    <w:p>
      <w:r>
        <w:rPr>
          <w:b/>
        </w:rPr>
        <w:t>E. 2</w:t>
      </w:r>
    </w:p>
    <w:p>
      <w:r>
        <w:t>Die Folgen der Beweislosigkeit trifft jene Partei, die aus dem unbewiesen gebliebenen Sachverhalt Rechte ableiten wollte (vgl. BGE 121 II 257 E. 4.c/aa S. 266; 109 Ia 183 E. 3.b S. 184 f.). Im vorliegenden Fall gebricht es am Nachweis einer Beschwerdeerhebung betreffend den Beschluss OGERL.2008.15 vom 29. Oktober 2008, was der Beschwerdeführer zu Unrecht bestreitet:</w:t>
      </w:r>
    </w:p>
    <w:p>
      <w:r>
        <w:t>Aus der von ihm eingereichten Kopie seines Empfangsscheinbuchs geht zwar hervor, dass er dem Verwaltungsgericht des Kantons Solothurn am 6. November 2008 eine eingeschriebene Sendung hat zukommen lassen. Dass das Verwaltungsgericht diese Eingabe erhalten hat, steht jedoch überhaupt nicht in Frage: Die darin jedenfalls enthaltene Beschwerdeschrift gegen den Beschluss des Obergerichtsschreibers vom 21. Oktober 2008 im Verfahren OGERL.2008.12 wurde vom Verwaltungsgericht - wie bereits ausgeführt - entgegengenommen und materiell behandelt.</w:t>
      </w:r>
    </w:p>
    <w:p>
      <w:r>
        <w:t>Dafür, dass diese Sendung noch eine weitere Beschwerdeschrift betreffend den Beschluss OGERL.2008.15 vom 29. Oktober 2008 enthielt, wie der Beschwerdeführer dies im Empfangsscheinbuch handschriftlich vermerkte, erbringt der eingereichte Beleg dagegen keinen Beweis: Der Poststempel im Empfangsscheinbuch bezieht sich ausschliesslich auf die verschlossene Sendung und nicht auf deren Inhalt. Daran ändert auch nichts, dass der Beschwerdeführer eine Kopie der angeblich eingereichten Beschwerdeschrift vorlegen kann. Es ist keineswegs ausgeschlossen, dass er das Original verlegt hat oder ihm ein anderes Missgeschick unterlaufen ist mit der Folge, dass die Sendung nur eine Beschwerde enthielt.</w:t>
      </w:r>
    </w:p>
    <w:p>
      <w:r>
        <w:rPr>
          <w:b/>
        </w:rPr>
        <w:t>E. 3</w:t>
      </w:r>
    </w:p>
    <w:p>
      <w:r>
        <w:t>Da somit nicht erstellt ist, dass die betreffende Beschwerde dem Verwaltungsgericht überhaupt zugestellt wurde, kann diesem keine Rechtsverweigerung vorgeworfen werden. Die Beschwerde in öffentlich-rechtlichen Angelegenheiten erweist sich als offensichtlich unbegründet und ist im vereinfachten Verfahren nach Art. 109 Abs. 2 lit. a BGG abzuweisen, soweit darauf überhaupt eingetreten werden kann.</w:t>
      </w:r>
    </w:p>
    <w:p>
      <w:r>
        <w:t>Dem Gesuch um unentgeltliche Rechtspflege und Verbeiständung im bundesgerichtlichen Verfahren kann nicht entsprochen werden, da die Beschwerde von vornherein aussichtslos erschien ( Art. 64 Abs. 1 BGG e contrario). Indes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