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2C_661/2021 vom 6. Oktober 2021</w:t>
      </w:r>
    </w:p>
    <w:p>
      <w:r>
        <w:t>Bundesgericht, 2021-10-06, DE</w:t>
      </w:r>
    </w:p>
    <w:p>
      <w:r>
        <w:rPr>
          <w:b/>
        </w:rPr>
        <w:t xml:space="preserve">Quelle: </w:t>
      </w:r>
      <w:r>
        <w:t>https://mcp.opencaselaw.ch/entscheid/bger_2C_661_2021</w:t>
      </w:r>
    </w:p>
    <w:p>
      <w:r>
        <w:t>FR: TF 2C_661/2021 du 6 octobre 2021</w:t>
      </w:r>
    </w:p>
    <w:p>
      <w:r>
        <w:t>IT: TF 2C_661/2021 del 6 ottobre 2021</w:t>
      </w:r>
    </w:p>
    <w:p>
      <w:pPr>
        <w:pStyle w:val="Heading2"/>
      </w:pPr>
      <w:r>
        <w:t>Erwägungen</w:t>
      </w:r>
    </w:p>
    <w:p>
      <w:r>
        <w:rPr>
          <w:b/>
        </w:rPr>
        <w:t>E. 1</w:t>
      </w:r>
    </w:p>
    <w:p>
      <w:r>
        <w:t>Gemäss Art. 42 Abs. 1 und 2 BGG haben Rechtsschriften an das Bundesgericht die Begehren und deren Begründung zu enthalten. Die Begründung hat sachbezogen zu sein und sich auf den Gegenstand des angefochtenen Entscheids zu beziehen. Die beschwerdeführende Partei muss in gezielter Auseinandersetzung mit den für das Ergebnis des angefochtenen Entscheids massgeblichen Erwägungen in gedrängter Form plausibel darlegen, inwiefern die Vorinstanz Rechte bzw. Rechtsnormen verletzt haben soll ( BGE 140 III 86 E. 2 mit Hinweisen). An den vorinstanzlich festgestellten Sachverhalt ist das Bundesgericht gebunden ( Art. 105 Abs. 1 BGG ), es sei denn, dieser erweise sich in einem entscheidwesentlichen Punkt als offensichtlich falsch oder unvollständig ( Art. 105 Abs. 2 BGG ; vgl. BGE 133 II 249 E. 1.4.3). Inwiefern die vorinstanzliche Sachverhaltsfeststellung klarerweise unhaltbar sein soll, muss in der Beschwerdeschrift detailliert aufgezeigt und damit qualifiziert ( Art. 106 Abs. 2 BGG ) begründet werden ( BGE 144 V 50 E. 4.2 mit Hinweisen).</w:t>
      </w:r>
    </w:p>
    <w:p>
      <w:r>
        <w:rPr>
          <w:b/>
        </w:rPr>
        <w:t>E. 2.1</w:t>
      </w:r>
    </w:p>
    <w:p>
      <w:r>
        <w:t>Die Anträge des Beschwerdeführers im vorliegenden Verfahren beziehen sich nicht nur auf die Prüfung "Einführung in die Rechtswissenschaft", sondern auch auf weitere Prüfungen der Assessmentstufe an der Universität Luzern. Auf entsprechende Anträge im kantonalen Verfahren ist das Bildungs- und Kulturdepartement des Kantons Luzern in seinem Entscheid vom 10. November 2020 nicht eingetreten. Die Vorinstanz hat den Entscheid des Bildungs- und Kulturdepartements (auch) insoweit bestätigt (vgl. E. 2.2 des angefochtenen Urteils). Inwiefern ihr in dieser Hinsicht eine Rechtsverletzung vorgeworfen werden könnte, geht aus der Beschwerde nicht einmal im Ansatz hervor. Die Beschwerdeanträge sind insoweit nicht hinreichend begründet.</w:t>
      </w:r>
    </w:p>
    <w:p>
      <w:r>
        <w:rPr>
          <w:b/>
        </w:rPr>
        <w:t>E. 2.2</w:t>
      </w:r>
    </w:p>
    <w:p>
      <w:r>
        <w:t>Soweit der Beschwerdeführer der Vorinstanz unter Hinweis auf Art. 29 Abs. 2 BV und Art. 6 Ziff. 1 EMRK vorwirft, sein Replikrecht missachtet zu haben, ist darauf hinzuweisen, dass im vorinstanzlichen Verfahren gar kein Schriftenwechsel durchgeführt worden ist. Unter diesen Umständen ist nicht ersichtlich, inwiefern die erwähnten Verfahrensgarantien vorliegend verletzt sein könnten. Auch insoweit fehlt es der Beschwerde an einer hinreichenden Begründung.</w:t>
      </w:r>
    </w:p>
    <w:p>
      <w:r>
        <w:rPr>
          <w:b/>
        </w:rPr>
        <w:t>E. 2.3</w:t>
      </w:r>
    </w:p>
    <w:p>
      <w:r>
        <w:t>In der Sache erwog die Vorinstanz in Anwendung von §§ 9-11 der Studien- und Prüfungsordnung der Rechtswissenschaftlichen Fakultät der Universität Luzern (StuPO/LU; SRL Nr. 540b), dass der Beschwerdeführer das Assessment des rechtswissenschaftlichen Bachelorstudiengangs an der Universität Luzern definitiv nicht bestanden habe, nachdem er im Modul "Einführung in die Rechtswissenschaft" sowohl im ersten als auch im zweiten Versuch die Bewertung "failed" erzielt habe. Dies habe folgerichtig (§ 14 Abs. 1 lit. a StuPO/LU) zu seinem Ausschluss aus dem Studium geführt. Ein Härtefall im Sinne von § 55 StuPO/LU, bei dessen Vorliegen ausnahmsweise von einzelnen Bestimmungen der StuPO/LU abgewichen werden könne, liege nach der Rechtsprechung dann vor, wenn es sich aufgrund der persönlichen Situation der betroffenen Person rechtfertige, vom Regelfall abzuweichen. Der Entscheid hierüber liege im pflichtgemässen Ermessen des Dekans, denn die Bestimmung von § 55 StuPO/LU sei als Kann-Vorschrift formuliert (E. 5.2 des angefochtenen Urteils). Im vorliegenden Fall vermöge die persönliche Situation des Beschwerdeführers keinen Härtefall zu begründen (E. 7.2 des angefochtenen Urteils); an dieser Einschätzung würden auch die mit der Covid-19-Pandemie zusammenhängenden speziellen Prüfungsmodalitäten nichts ändern (E. 8.2 des angefochtenen Urteils).</w:t>
      </w:r>
    </w:p>
    <w:p>
      <w:r>
        <w:t>Soweit der Beschwerdeführer unter Hinweis auf eine chronische Krankheit (insbesondere eine beidseitige hochgradige Innenohrschwerhörigkeit rechts) nachträglich formale Prüfungserleichterungen verlange, lege er nicht dar, inwiefern die mit der Krankheit zusammenhängenden Einschränkungen Auswirkungen auf seine Leistungserbringung bei der schriftlichen Prüfung "Einführung in die Rechtswissenschaft" gehabt hätten; überdies habe er um die Krankheit gewusst und es versäumt, rechtzeitig ein Gesuch um Gewährung eines Nachteilsausgleichs zu stellen (E. 6.3 und 6.4 des angefochtenen Urteils). Soweit er nachträglich ein Arztzeugnis beibringe, gemäss welchem er am 8. Juni 2020 an Fieber, Kopfschmerzen Schwindel sowie einem respiratorischen Infekt gelitten habe, sei nicht erstellt, dass er auch am 10. Juni 2020 - dem Datum der Prüfung "Einführung in die Rechtswissenschaft" - noch Beschwerden gehabt habe; ausserdem sei der Beschwerdeführer damit nicht mehr zu hören, zumal er es versäumt habe, nach der Prüfung sofort ein Arztzeugnis beizubringen (E. 6.4 des angefochtenen Urteils).</w:t>
      </w:r>
    </w:p>
    <w:p>
      <w:r>
        <w:rPr>
          <w:b/>
        </w:rPr>
        <w:t>E. 2.4</w:t>
      </w:r>
    </w:p>
    <w:p>
      <w:r>
        <w:t>Mit der vorstehend wiedergegebenen Begründung der Vorinstanz setzt sich der Beschwerdeführer nicht substanziiert auseinander. Er beruft sich zwar erneut auf seine chronische Erkrankung und die Diagnose vom 8. Juni 2020. Aus der Beschwerdeschrift geht jedoch nicht hervor, inwiefern die Vorinstanz Recht verletzt hätte, indem sie diesen Erkrankungen eine Relevanz für das Ergebnis der Prüfung "Einführung in die Rechtswissenschaft" abgesprochen hat. Ausserdem setzt sich der Beschwerdeführer auch nicht hinreichend mit der vorinstanzlichen Erwägung auseinander, wonach er seine gesundheitlichen Beschwerden verspätet vorgebracht habe; selbst wenn zutreffen sollte, dass er von der genauen medizinischen Ursache für sein Unwohlsein in der Prüfungsphase erst im September 2020 erfahren habe (vgl. Beschwerdeverbesserung, S. 4), erklärt dies noch nicht, warum er die gesundheitlichen Beschwerden an sich nicht rechtzeitig melden konnte. Schliesslich enthält die Beschwerde auch in Bezug auf die Frage, ob die Vorinstanz zu Recht davon ausgegangen ist, dass im vorliegenden Fall kein Härtefall im Sinne von § 55 StuPO/LU vorliege, keine substanziierte Rüge. Die Beschwerde genügt damit auch insoweit den Begründungsanforderungen (vgl. E. 1 hiervor) nicht.</w:t>
      </w:r>
    </w:p>
    <w:p>
      <w:r>
        <w:rPr>
          <w:b/>
        </w:rPr>
        <w:t>E. 2.5</w:t>
      </w:r>
    </w:p>
    <w:p>
      <w:r>
        <w:t>Nach dem Gesagten enthält die Beschwerde offensichtlich unter keinem Aspekt eine hinreichende Begründung. Darauf ist nicht einzutreten ( Art. 108 Abs. 1 lit. b BGG ).</w:t>
      </w:r>
    </w:p>
    <w:p>
      <w:r>
        <w:rPr>
          <w:b/>
        </w:rPr>
        <w:t>E. 3</w:t>
      </w:r>
    </w:p>
    <w:p>
      <w:r>
        <w:t>Dem prozessualen Antrag des Beschwerdeführers um Gewährung der unentgeltlichen Rechtspflege und Beiordnung eines amtlichen Rechtsbeistands kann nicht stattgegeben werden, zumal seine materiellen Anträge im Lichte ihrer Begründung als aussichtslos erscheinen ( Art. 64 Abs. 1 und 2 BGG ).</w:t>
      </w:r>
    </w:p>
    <w:p>
      <w:r>
        <w:rPr>
          <w:b/>
        </w:rPr>
        <w:t>E. 4</w:t>
      </w:r>
    </w:p>
    <w:p>
      <w:r>
        <w:t>Bei diesem Verfahrensausgang (vgl. E. 2.5 hiervor) würde der Beschwerdeführer an sich kostenpflichtig; auf die Erhebung von Verfahrenskosten kann jedoch angesichts der Umstände verzichtet werden ( Art. 66 Abs. 1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