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2C_661/2008 vom 8. Januar 2009</w:t>
      </w:r>
    </w:p>
    <w:p>
      <w:r>
        <w:t>Bundesgericht, 2009-01-08, FR</w:t>
      </w:r>
    </w:p>
    <w:p>
      <w:r>
        <w:rPr>
          <w:b/>
        </w:rPr>
        <w:t xml:space="preserve">Quelle: </w:t>
      </w:r>
      <w:r>
        <w:t>https://mcp.opencaselaw.ch/entscheid/bger_2C_661_2008</w:t>
      </w:r>
    </w:p>
    <w:p>
      <w:r>
        <w:t>FR: TF 2C_661/2008 du 8 janvier 2009</w:t>
      </w:r>
    </w:p>
    <w:p>
      <w:r>
        <w:t>IT: TF 2C_661/2008 del 8 gennaio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w:t>
      </w:r>
    </w:p>
    <w:p>
      <w:r>
        <w:t>En l'espèce, la décision d'expulsion a été rendue le 8 novembre 2007, soit avant l'entrée en vigueur de la loi précitée. La présente affaire doit donc être examinée à la lumière de l'ancienne loi fédérale sur le séjour et l'établissement des étrangers, l'art. 126 al. 1 LEtr étant applicable par analogie (cf. arrêt 2C_303/2008 du 9 juillet 2008, consid. 1).</w:t>
      </w:r>
    </w:p>
    <w:p>
      <w:r>
        <w:rPr>
          <w:b/>
        </w:rPr>
        <w:t>E. 2.1</w:t>
      </w:r>
    </w:p>
    <w:p>
      <w:r>
        <w:t>Une décision d'expulsion prononcée en application de l' art. 10 al. 1 LSEE peut faire l'objet d'un recours en matière de droit public (art. 83 lettre c LTF a contrario; arrêt 2C_536/2007 du 25 février 2008, consid. 1.2 non publié aux ATF 134 II 1 ). Elle échappe en particulier à la clause d'irrecevabilité de l'art. 83 lettre c chiffre 4 LTF, du fait qu'elle ne repose pas sur l' art. 121 al. 2 Cst. Au surplus, formé en temps utile par le destinataire d'une décision prise en dernière instance cantonale (cf. art. 89 al. 1 LTF ), le présent recours est recevable comme recours en matière de droit public en vertu des art. 82 ss LTF .</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Il appartient au recourant de démontrer précisément, pour chaque constatation de fait incriminée, comment les preuves administrées auraient dû, selon lui, être correctement appréciées et en quoi leur appréciation par l'autorité cantonale est insoutenable. De surcroît, le recourant doit démontrer que la violation qu'il invoque est susceptible d'influer sur le sort de la cause (art. 97 al. 1 in fine LTF). Il doit rendre vraisemblable que la décision finale aurait été différente si les faits avaient été établis de manière conforme au droit.</w:t>
      </w:r>
    </w:p>
    <w:p>
      <w:r>
        <w:rPr>
          <w:b/>
        </w:rPr>
        <w:t>E. 3</w:t>
      </w:r>
    </w:p>
    <w:p>
      <w:r>
        <w:t>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références).</w:t>
      </w:r>
    </w:p>
    <w:p>
      <w:r>
        <w:t>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w:t>
      </w:r>
    </w:p>
    <w:p>
      <w:r>
        <w:t>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 ATF 134 II 10 consid. 4.3 p. 24).</w:t>
      </w:r>
    </w:p>
    <w:p>
      <w:r>
        <w:rPr>
          <w:b/>
        </w:rPr>
        <w:t>E. 4.1</w:t>
      </w:r>
    </w:p>
    <w:p>
      <w:r>
        <w:t>Le recourant reproche à l'autorité précédente d'avoir admis qu'il présente un danger réel et actuel pour l'ordre et la sécurité publics, sans tenir compte du fait que les infractions commises l'ont été sous l'emprise de la dépendance au jeu - comme cela ressort du jugement de 2001 et, particulièrement, de celui de 2005 -, pathologie dont il est entre-temps guéri. En effet, selon une attestation établie le 4 juin 2007 par un médecin du Centre du jeu excessif (faisant partie du Service de psychiatrie communautaire du Centre hospitalier universitaire vaudois), X.________ a été suivi médicalement pendant quatre ans, du 24 mars 2003 au 9 mars 2007, et présente "une abstinence des jeux d'argent depuis 2004". La décision d'expulsion serait ainsi "anachronique" dans la mesure où elle a été rendue, d'une part, alors qu'il était guéri de sa dépendance au jeu depuis plus de trois ans et, d'autre part, plus de trois ans et demi après la dernière infraction (ainsi que deux ans et neuf mois après la dernière condamnation). En retenant, en dépit du certificat médical précité, que sa pathologie de dépendance au jeu persistait, l'autorité précédente serait tombée dans l'arbitraire. Au demeurant, celle-ci n'aurait pas seulement admis à tort que le recourant présente un danger réel et actuel pour l'ordre public et, partant, l'existence d'un intérêt public à son éloignement, mais elle aurait également omis de prendre en compte ses intérêts privés à demeurer en Suisse. Or, ceux-ci auraient un poids particulier compte tenu du fait qu'il réside en Suisse depuis 1988, qu'il y vit avec sa femme et ses enfants depuis 1992 et qu'il y est professionnellement intégré. En omettant de prendre en compte ces intérêts privés, l'autorité précédente aurait violé les art. 10 LSEE et 8 CEDH.</w:t>
      </w:r>
    </w:p>
    <w:p>
      <w:r>
        <w:rPr>
          <w:b/>
        </w:rPr>
        <w:t>E. 4.2</w:t>
      </w:r>
    </w:p>
    <w:p>
      <w:r>
        <w:t>Sur la base du rapport que le membre visiteur de la Commission de libération a établi le 27 juin 2006 à la suite d'un entretien avec le recourant, l'autorité précédente a retenu que ce dernier n'était pas guéri de sa dépendance au jeu, lorsque ladite commission a statué et au moment où la décision d'expulsion a été rendue. Or, le recourant n'explique pas en quoi cette constatation de fait serait arbitraire. La seule référence au certificat médical du 4 juin 2007 n'est pas suffisante à cet égard: celui-ci fait certes état d'une "évolution médicale et psychiatrique très favorable" et d'une "abstinence des jeux d'argent depuis 2004", mais, sur ce dernier point, il se trouve en contradiction avec le rapport du membre visiteur de la Commission de libération du 27 juin 2006 et le recourant ne démontre pas que l'appréciation des preuves de l'autorité précédente, qui s'est fondée sur le rapport du 27 juin 2006, serait insoutenable. Partant, le grief d'arbitraire dans la constatation des faits doit être rejeté.</w:t>
      </w:r>
    </w:p>
    <w:p>
      <w:r>
        <w:t>Au demeurant, selon l'état de fait retenu dans l'arrêt attaqué, qui lie le Tribunal de céans (consid. 2.2 ci-dessus), seul le jugement pénal du 9 février 2005 fait état de la dépendance au jeu du recourant. De plus, on ne saurait voir dans cette pathologie la cause unique de son comportement délictueux. Si l'on ajoute à cela que le risque de récidive n'est pas déterminant pour les mesures d'éloignement prises sur la base du droit interne, mais ne constitue qu'un facteur parmi d'autres dans la pesée des intérêts, l'élément premier à prendre en considération étant la gravité des actes commis (cf. consid. 3 ci-dessus), la question de savoir si le recourant était guéri de sa dépendance au jeu lors du prononcé de la décision d'expulsion n'est pas décisive.</w:t>
      </w:r>
    </w:p>
    <w:p>
      <w:r>
        <w:t>En 1993, X.________ a été condamné à une peine de vingt mois d'emprisonnement notamment pour infraction grave à la législation sur les stupéfiants. A la fin de l'année 2001, une peine de 18 mois d'emprisonnement a été prononcée contre lui, notamment pour vol en bande et par métier, infraction commise dans le courant de l'année 2000. Au début de l'année 2005, le recourant a été condamné à une peine d'emprisonnement de deux ans, ramenée à 22 mois, notamment pour vol en bande et par métier - à nouveau - et pour complicité de brigandage. Le recourant a donc été condamné à plusieurs reprises à des peines privatives de liberté pour des infractions dont la gravité ne saurait être minimisée. Certaines de ces infractions ont en outre été commises durant la période probatoire accordée par la Commission de libération. Dans ces conditions - et même si la décision attaquée ne traite que sommairement des effets de l'expulsion sur la vie familiale du recourant -, l'autorité précédente n'a pas violé le droit fédéral ni l' art. 8 CEDH en considérant que l'intérêt public à l'éloignement du recourant l'emporte sur son intérêt privé à demeurer en Suisse. Partant, le recours est mal fondé et doit être rejeté.</w:t>
      </w:r>
    </w:p>
    <w:p>
      <w:r>
        <w:rPr>
          <w:b/>
        </w:rPr>
        <w:t>E. 5</w:t>
      </w:r>
    </w:p>
    <w:p>
      <w:r>
        <w:t>Les considérants qui précèdent conduisent au rejet du recours.</w:t>
      </w:r>
    </w:p>
    <w:p>
      <w:r>
        <w:t>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