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2C_65/2023 vom 19. Februar 2025</w:t>
      </w:r>
    </w:p>
    <w:p>
      <w:r>
        <w:t>Bundesgericht, 2025-02-19, DE</w:t>
      </w:r>
    </w:p>
    <w:p>
      <w:r>
        <w:rPr>
          <w:b/>
        </w:rPr>
        <w:t xml:space="preserve">Quelle: </w:t>
      </w:r>
      <w:r>
        <w:t>https://mcp.opencaselaw.ch/entscheid/bger_2C_65_2023</w:t>
      </w:r>
    </w:p>
    <w:p>
      <w:r>
        <w:t>FR: TF 2C_65/2023 du 19 février 2025</w:t>
      </w:r>
    </w:p>
    <w:p>
      <w:r>
        <w:t>IT: TF 2C_65/2023 del 19 febbraio 2025</w:t>
      </w:r>
    </w:p>
    <w:p>
      <w:pPr>
        <w:pStyle w:val="Heading2"/>
      </w:pPr>
      <w:r>
        <w:t>Erwägungen</w:t>
      </w:r>
    </w:p>
    <w:p>
      <w:r>
        <w:rPr>
          <w:b/>
        </w:rPr>
        <w:t>E. 1</w:t>
      </w:r>
    </w:p>
    <w:p>
      <w:r>
        <w:t>Die frist- ( Art. 100 Abs. 1 BGG ) und formgerecht ( Art. 42 BGG ) eingereichte Eingabe betrifft eine Angelegenheit des öffentlichen Rechts ( Art. 82 lit. a BGG ) mit Bezug auf das Abkommen vom 21. Juni 1999 zwischen der Schweizerischen Eidgenossenschaft und der Europäischen Gemeinschaft über den Luftverkehr (Luftverkehrsabkommen, LVA; SR 0.748.127.192.68) respektive auf dem Gebiet des Kartellrechts (vgl. Bundesgesetz vom 6. Oktober 1995 über Kartelle und andere Wettbewerbsbeschränkungen [Kartellgesetz, KG; SR 251]), womit die Beschwerde in öffentlich-rechtlichen Angelegenheiten zulässig ist ( Art. 83 BGG ). Die Beschwerdeführerin ist bereits im bundesverwaltungsgerichtlichen Verfahren als Partei beteiligt gewesen und dort mit ihren Anträgen nur betreffend die Aufhebung der Unterlassungsanordnung vollständig durchgedrungen (Dispositiv-Ziffer 1.1 des angefochtenen Urteils). Ausserdem ist sie durch das angefochtene Urteil in ihren schutzwürdigen Interessen besonders berührt, da die Vorinstanz ihre gegen die Sanktion und die Verfahrenskosten der WEKO gerichteten Anträge nur teilweise gutgeheissen (Dispositiv-Ziffern 1, 1.2, 1.3 und 1.4 des angefochtenen Urteils) und ihr die vorinstanzlichen Verfahrenskosten auferlegt sowie lediglich eine reduzierte Parteientschädigung zugesprochen hat (Dispositiv-Ziffern 2 und 3 des angefochtenen Urteils). Sie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X. Überblick über das Verfahren und den Streitgegenstand</w:t>
      </w:r>
    </w:p>
    <w:p>
      <w:r>
        <w:rPr>
          <w:b/>
        </w:rPr>
        <w:t>E. 3</w:t>
      </w:r>
    </w:p>
    <w:p>
      <w:r>
        <w:t>Gegenstand der Untersuchung 81.21-0014 war im Kern die Frage, ob sich international tätige Luftfahrtunternehmen und -konzerne zu Beginn der 2000er-Jahre bis in den Februar 2006 zu Treibstoffzuschlägen, Kriegsrisikozuschlägen, US-Zollabfertigungszuschlägen, Frachtraten und zur Kommissionierung von Zuschlägen abgesprochen hätten. Mit Verfügung vom 2. Dezember 2013 auferlegte die WEKO der Beschwerdeführerin eine Sanktion in der Höhe von Fr. 520'206.-- und überband ihr die Verfahrenskosten in der Höhe von Fr. 96'588.-- unter solidarischer Haftung für den Gesamtbetrag von Fr. 1'313'630.--. Im Zuge des vorinstanzlichen Verfahrens gelangte die Vorinstanz alsdann zum Schluss, dass die WEKO sich in beträchtlichem Ausmass in Sachverhaltsschilderungen verloren habe, für welche sie nach ihren eigenen Feststellungen nicht zuständig sei oder bei denen die fraglichen Geschehnisse vor dem für die Sanktionierung massgeblichen Zeitraum liege (vgl. E. 8.3 S. 39 des angefochtenen Urteils). Ausserdem hielt die Vorinstanz lediglich die Abreden über die Treibstoffzuschläge sowie über die Kommissionierung von Zuschlägen für entscheidrelevant (vgl. E. 8.4.8 des angefochtenen Urteils). Mit Blick auf diese beiden Abreden anerkannte die Vorinstanz das Vorliegen von unzulässigen Preisabreden im Sinne von Art. 8 Abs. 1 lit. a LVA in Verbindung mit Art. 4 Abs. 1 KG und Art. 5 Abs. 1 und Abs. 3 lit. a KG (vgl. E. 10-13 des angefochtenen Urteils). Sie reduzierte entsprechend die Sanktion auf Fr. 451'759.-- sowie die Verfahrenskosten auf Fr. 53'125.-- (vgl. E. 15 und E. 17 des angefochtenen Urteils). Vor Bundesgericht verlangt die Beschwerdeführerin erneut das vollumfängliche Absehen von einer Sanktionierung mangels Sanktionskompetenz der WEKO respektive das teilweise Absehen von einer Sanktionierung mangels kartellrechtswidrigen Verhaltens mit Bezug auf die Nicht-Kommissionierung von Zuschlägen sowie den Verzicht auf die Auferlegung von Verfahrenskosten. Gegenstand des bundesgerichtlichen Verfahrens sind demnach die Fragen, ob die Vorinstanz die Beschwerdeführerin zu Recht mit einem Betrag von Fr. 451'759.-- sanktionierte (vgl. Dispositiv-Ziffer 1.2 des angefochtenen Urteils) und ihr die Verfahrenskosten von Fr. 53'125.--, unter solidarischer Haftung für den Betrag von Fr. 318'750.--, auferlegte (vgl. Dispositiv-Ziffer 1.3 des angefochtenen Urteils). Demgegenüber beanstandet die Beschwerdeführerin ihre Teilnahme an der Abrede über die Treibstoffzuschläge vor Bundesgericht nicht mehr (vgl. E. 11 des angefochtenen Urteils).</w:t>
      </w:r>
    </w:p>
    <w:p>
      <w:r>
        <w:t>XXV. Anwendbares Recht und Kompetenzen der schweizerischen Behörden nach dem Luftverkehrsabkommen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EG-Vertrag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europarechtlichen Bestimmungen nach dem Willen der Vertragsparteien grundsätzlich auch in der Schweiz direkt angewendet werden sollen (vgl. BGE 144 II 376 E. 9.4.1;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[nachfolgend: Botschaft Bilaterale I], BBl 1999 6128 ff., S. 6150).</w:t>
      </w:r>
    </w:p>
    <w:p>
      <w:r>
        <w:rPr>
          <w:b/>
        </w:rPr>
        <w:t>E. 4.2</w:t>
      </w:r>
    </w:p>
    <w:p>
      <w:r>
        <w:t>Beim Luftverkehrsabkommen handelt es sich mithin um einen "partiellen Integrationsvertrag" (Botschaft Bilaterale I, S.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Botschaft Bilaterale I, S. 6158; vgl. auch Kraus/Jaag/Umbricht, L'Union européene, Ses institutions et ses relations avec la Suisse, 2009, S. 154; Glaser, Umsetzung und Durchführung des Rechts der Bilateralen Verträge in der Schweiz, in: Glaser/Langer [Hrsg.], Die Verfassungsdynamik der europäischen Integration und demokratische Partizipation,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(Botschaft Bilaterale I, S. 6158; vgl. Cottier et al.,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140 II 185 E. 4.2). Das staatsvertraglich übernommene EU-Verordnungsrecht entspricht national einer Regelung auf formeller Gesetzesstufe (vgl. BGE 138 II 42 E. 3.1).</w:t>
      </w:r>
    </w:p>
    <w:p>
      <w:r>
        <w:rPr>
          <w:b/>
        </w:rPr>
        <w:t>E. 4.4</w:t>
      </w:r>
    </w:p>
    <w:p>
      <w:r>
        <w:t>Für die vorliegende Angelegenheit bedeutet dies, dass nach Massgabe des Luftverkehrsabkommens in der Schweiz im Grundsatz das europäische Kartellrecht gilt (vgl. Urteil 2C_64/2023 vom 26. November 2024 E. 4.4, zur Publikation vorgesehen).</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(lit. a), die Einschränkung oder Kontrolle der Erzeugung, des Absatzes, der technischen Entwicklung oder der Investitionen (lit. b), die Aufteilung der Märkte oder Versorgungsquellen (lit. c), die Anwendung unterschiedlicher Bedingungen bei gleichwertigen Leistungen gegenüber Handelspartnern, wodurch diese im Wettbewerb benachteiligt werden (lit. d) oder die an den Abschluss von Verträgen geknüpfte Bedingung, dass die Vertragspartner zusätzliche Leistungen annehmen, die weder sachlich noch nach Handelsbrauch in Beziehung zum Vertragsgegenstand stehen (lit. e). Art. 9 Abs. 1 LVA erklärt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Schröter/Klotz/von Wendland [Hrsg.], Europäisches Wettbewerbsrecht, 3. Aufl. 2024, S. 1600; Zurkinden/Baudenbacher, in: Schröter/Klotz/von Wendland [Hrsg.], Europäisches Wettbewerbsrecht, 3. Aufl. 2024, S. 3093 f.; Dettling-Ott, Das bilaterale Luftverkehrsabkommen der Schweiz und der EG, in: Thürer/Weber/Portmann/Kellerhals [Hrsg.], Bilaterale Verträge I &amp; II Schweiz - EU,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S.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Unter den Verfahrensbeteiligten ist zwar unbestritten, dass in der vorliegenden Angelegenheit das europäische Kartellrecht (nach Massgabe von Art. 8 LVA) anwendbar ist. Umstritten ist jedoch, ob ein mit Art. 8 LVA allenfalls unvereinbares und damit kartellrechtswidriges Verhalten sanktioniert werden kann. Die Beschwerdeführerin rügt namentlich eine Verletzung von Art. 5 Abs. 1 BV und Art. 7 Abs. 1 EMRK , da die Vorinstanz ohne Sanktionskompetenz Art. 49a Abs. 1 KG zur Anwendung gebracht habe.</w:t>
      </w:r>
    </w:p>
    <w:p>
      <w:r>
        <w:rPr>
          <w:b/>
        </w:rPr>
        <w:t>E. 5.1</w:t>
      </w:r>
    </w:p>
    <w:p>
      <w:r>
        <w:t>Die Beschwerdeführerin bringt vor, es sei unbestritten, dass das Luftverkehrsabkommen in den zum Untersuchungszeitraum gültigen Fassungen keine gesetzliche Grundlage für die Sanktionierung der Untersuchungsadressaten enthalten habe, da weder die Europäische Gemeinschaft noch die Schweiz im Zeitpunkt des Abschlusses des Luftverkehrsabkommens eine Sanktionsbestimmung gekannt hätten. Sie stellt sich auf den Standpunkt, dass die WEKO zwar für die Beurteilung der Wettbewerbssituation auf den fünf relevanten Flugstrecken zuständig gewesen sei. Jedoch habe die WEKO die Zulässigkeit der angeblichen Wettbewerbsabreden auf den fünf Strecken ausschliesslich nach Art. 8 LVA zu beurteilen gehabt. Entgegen der Auffassung der Vorinstanz, so die Beschwerdeführerin weiter, bestehe im Anwendungsbereich des bilateralen Luftverkehrsabkommens kein Raum für die parallele Anwendung des Schweizer Kartellgesetzes. Die Schweiz habe sich beim Abschluss des Luftverkehrsabkommens zur Übernahme des damaligen europäischen Kartellrechts und zu dessen ausschliesslicher Anwendbarkeit verpflichtet. Indem die Vorinstanz gestützt auf die vorliegend nicht anwendbare Bestimmung des Schweizer Kartellgesetzes - Art. 49a Abs. 1 KG - dennoch eine Sanktion ausgesprochen habe, verletze sie den Grundsatz "keine Strafe ohne Gesetz".</w:t>
      </w:r>
    </w:p>
    <w:p>
      <w:r>
        <w:rPr>
          <w:b/>
        </w:rPr>
        <w:t>E. 5.2</w:t>
      </w:r>
    </w:p>
    <w:p>
      <w:r>
        <w:t>Vorab ist auf die Ausgangslage einzugehen, damit die Frage, ob allfällige Wettbewerbsverstösse gemäss Art. 8 Abs. 1 LVA im relevanten Zeitraum zwischen 1. April 2004 bis (spätestens) Februar 2006 sanktionierbar sind, verständlich gewürdigt werden können. Unter den Verfahrensbeteiligten ist zu Recht unbestritten, dass die vorliegend zu beurteilenden Luftfrachttransporte in sachlicher Hinsicht den Luftverkehr betreffen und damit in den Geltungsbereich des Luftverkehrsabkommens fallen (vgl. Art. 2 LVA; zum räumlichen Geltungsbereich siehe Art. 34 LVA). Sodann ist die WEKO gemäss Art. 11 Abs. 2 LVA für die Untersuchung in Bezug auf die - vorliegend massgebenden fünf - Flugstrecken zwischen der Schweiz und Drittländern zuständig gewesen (vgl. Urteil 2C_64/2023 vom 26. November 2024 E. 5.5, zur Publikation vorgesehen).</w:t>
      </w:r>
    </w:p>
    <w:p>
      <w:r>
        <w:t>Im Weiteren ist zu Recht unbestritten, dass sich im (damals geltenden)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Luftverkehrsausschusses Gemeinschaft/Schweiz vom 5. Dezember 2007 wurde eine Sanktionskompetenz in den Anhang des Abkommens aufgenommen (vgl. Verordnung Nr. 1/2003 vom 16. Dezember 2002 zur Durchführung der in den Art. 81 und 82 EG-Vertrag niedergelegten Wettbewerbsregeln, ABl. 2003 L 1, S. 1 ff.).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S. 1387 f. und S. 1390).</w:t>
      </w:r>
    </w:p>
    <w:p>
      <w:r>
        <w:rPr>
          <w:b/>
        </w:rPr>
        <w:t>E. 5.3</w:t>
      </w:r>
    </w:p>
    <w:p>
      <w:r>
        <w:t>Ob die vorliegend beanstandeten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5.3.1</w:t>
      </w:r>
    </w:p>
    <w:p>
      <w:r>
        <w:t>Die Auslegung völkerrechtlicher Verträge richtet sich nach den Regeln des Wiener Übereinkommens vom 23. Mai 1969 über das Recht der Verträge (VRK; SR 0.111). Diese Regeln gelten ebenso für das Luftverkehrsabkommen, auch wenn die EU nicht Partei dieses Übereinkommens ist (vgl. BGE 146 II 150 E. 5.3.1; vgl. auch Urteil 2C_534/2019 vom 4. Februar 2020 E. 3.2.4 f., nicht publ. in: BGE 146 II 145 ).</w:t>
      </w:r>
    </w:p>
    <w:p>
      <w:r>
        <w:rPr>
          <w:b/>
        </w:rPr>
        <w:t>E. 5.3.1.1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w:t>
      </w:r>
    </w:p>
    <w:p>
      <w:r>
        <w:rPr>
          <w:b/>
        </w:rPr>
        <w:t>E. 5.3.1.2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148 II 491 E. 5.3.2; 146 II 150 E. 5.3.2;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144 II 130 E. 8.2.1; 143 II 136 E. 5.2.2). Ausserdem sind die Vertragsstaaten nach Treu und Glauben gehalten, jedes Verhalten und jede Auslegung zu unterlassen, mittels welcher sie ihre vertraglichen Pflichten umgehen oder den Vertrag seines Ziels und Zwecks entleeren würden (vgl. BGE 148 II 491 E. 5.3.2 i.f.; 146 II 150 E. 5.3.2; 142 II 161 E. 2.1.3).</w:t>
      </w:r>
    </w:p>
    <w:p>
      <w:r>
        <w:rPr>
          <w:b/>
        </w:rPr>
        <w:t>E. 5.3.2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5.3.3</w:t>
      </w:r>
    </w:p>
    <w:p>
      <w:r>
        <w:t>Aus einer systematischen Betrachtung von Art. 11 Abs. 2 LVA ergibt sich, dass die darin genannten Bestimmungen - Art. 8 LVA (Wettbewerbsabreden) und Art. 9 LVA (missbräuchliche Ausnutzung einer marktbeherrschenden Stellung) - das materielle Wettbewerbsrecht deckungsgleich mit den damals massgebenden Art. 81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5.2 hiervor). Aus dem Aufbau der Normen und deren Systematik lässt sich allerdings nicht unmittelbar darauf schliessen, dass dem Landesrecht von vornherein die Anwendung zu versagen ist.</w:t>
      </w:r>
    </w:p>
    <w:p>
      <w:r>
        <w:rPr>
          <w:b/>
        </w:rPr>
        <w:t>E. 5.3.4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I &amp; II Schweiz - EU, a.a.O., Rz. 17).</w:t>
      </w:r>
    </w:p>
    <w:p>
      <w:r>
        <w:rPr>
          <w:b/>
        </w:rPr>
        <w:t>E. 5.3.4.1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Botschaft Bilaterale I, S. 6158; vgl. auch E. 4.2 i.f. hiervor). Die Betrachtung der durch das Luftverkehrsabkommen vorgenommenen Integration in den europäischen Rechtsraum bloss aus der Perspektive der Schweiz - d. h. nur aus der Sicht einer Vertragspartei - greift jedoch zu kurz. Vielmehr ist die zu klärende Auslegungsfrage gleichermassen aus europarechtlicher Sicht zu prüfen.</w:t>
      </w:r>
    </w:p>
    <w:p>
      <w:r>
        <w:rPr>
          <w:b/>
        </w:rPr>
        <w:t>E. 5.3.4.2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w:t>
      </w:r>
    </w:p>
    <w:p>
      <w:r>
        <w:t>fiel - im Gegensatz zum Luftverkehr zwischen den Mitgliedstaaten der Gemeinschaft - (noch) nicht in den Zuständigkeitsbereich der EU-Kommission, sondern in jenen der Behörden der Mitgliedstaaten (vgl. Urteile des EuGH Rs. 66/86 vom 11. April 1989 Rz. 19 ff.; Rs. 209-213/84 vom 30. April 1986 Rz. 46 ff.; SCHRÖTER, in: Schröter/Klotz/von Wendland [Hrsg.], Europäisches Wettbewerbsrecht,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5.3.4.3</w:t>
      </w:r>
    </w:p>
    <w:p>
      <w:r>
        <w:t>Das Verhältnis der einzelnen Mitgliedstaaten zu Drittländern war namentlich Gegenstand des damals geltenden Art. 88 EWG-Vertrag.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Mitgliedstaaten und Drittländern beurteilten (Urteil des EuGH Rs. 209-213/84 vom 30. April 1986 Rz. 53 f.; zur weiterhin möglichen Anwendung des einzelstaatlichen Wettbewerbsrechts nach Inkrafttreten der Verordnung Nr. 1/2003 siehe Puffer-Mariette, in: Schröter/Klotz/von Wendland [Hrsg.], Europäisches Wettbewerbsrecht, 3. Aufl. 2024, S. 1061 ff.).</w:t>
      </w:r>
    </w:p>
    <w:p>
      <w:r>
        <w:rPr>
          <w:b/>
        </w:rPr>
        <w:t>E. 5.3.4.4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5.4</w:t>
      </w:r>
    </w:p>
    <w:p>
      <w:r>
        <w:t>Die Auslegung von Art. 11 Abs. 2 LVA ergibt somit, dass die Bestimmung im Sinne einer Kollisionsnorm das anwendbare Recht - d. h. die verbotenen Verhaltensweisen nach Art. 8 f. LVA als materiell-rechtlichen Beurteilungsmassstab - bezeichnet sowie die Zuständigkeit der schweizerischen Behörden in Bezug auf die Strecken zwischen der Schweiz und Drittländern verankert. Entgegen der Auffassung der Beschwerdeführerin schliesst die Norm allerdings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5.3.1.2 i.f. hiervor). Folglich belässt das Luftverkehrsabkommen Raum für die Anwendung von schweizerischem Recht - namentlich des Kartellgesetzes und von Art. 49a Abs. 1 KG (vgl. Urteil 2C_64/2023 vom 26. November 2024 E. 5.6, zur Publikation vorgesehen).</w:t>
      </w:r>
    </w:p>
    <w:p>
      <w:r>
        <w:rPr>
          <w:b/>
        </w:rPr>
        <w:t>E. 5.5</w:t>
      </w:r>
    </w:p>
    <w:p>
      <w:r>
        <w:t>Soweit die Beschwerdeführerin durch die Anwendung von Art. 49a KG eine Verletzung des Grundsatzes "keine Strafe ohne Gesetz" im Sinne von Art. 7 EMRK sieht, ist ihr nicht zu folgen (zum strafrechtlichen bzw. strafrechtsähnlichen Charakter der Sanktionen im Sinne von Art. 49a KG und zur diesbezüglichen Anwendbarkeit der Garantien von Art. 6 EMRK und Art. 7 EMRK siehe BGE 143 II 297 E. 9.1 ; 139 I 72 E. 2.2.2; vgl. auch E. 9.2 hiernach). Die vorliegend relevanten, verbotenen Verhaltensweisen gemäss Art. 8 Abs. 1 lit. a LVA sind mit Art. 4 Abs. 1 KG in Verbindung mit Art. 5 Abs. 1 und Abs. 3 lit. a KG inhaltlich deckungsgleich (vgl. E. 6.1 hiernach). Insofern hat eine allfällige Sanktionierung eine hinreichende gesetzliche Grundlage im Sinne von Art. 7 EMRK und Art. 5 Abs. 1 BV , ohne dass eine ausdrückliche Nennung von Art. 8 f. LVA in Art. 49a Abs. 1 KG erforderlich wäre. Im Übrigen erfolgt auch keine rückwirkende Anwendung des Luftverkehrsabkommens in der ab dem 1. Februar 2008 geltenden Fassung, wie die Beschwerdeführerin meint (vgl. E. 5.2 hiervor). Vielmehr findet der ab dem 1. April 2004 in Kraft stehende Art. 49a Abs. 1 KG Anwendung. Entgegen der Auffassung der Beschwerdeführerin liegt somit auch keine Verletzung des Rückwirkungsverbots vor.</w:t>
      </w:r>
    </w:p>
    <w:p>
      <w:r>
        <w:t>XXV. Wettbewerbsabreden im Allgemeinen</w:t>
      </w:r>
    </w:p>
    <w:p>
      <w:r>
        <w:rPr>
          <w:b/>
        </w:rPr>
        <w:t>E. 6</w:t>
      </w:r>
    </w:p>
    <w:p>
      <w:r>
        <w:t>Mit diesem 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w:t>
      </w:r>
    </w:p>
    <w:p>
      <w:r>
        <w:rPr>
          <w:b/>
        </w:rPr>
        <w:t>E. 6.1</w:t>
      </w:r>
    </w:p>
    <w:p>
      <w:r>
        <w:t>In Bezug auf die Begriffe der Vereinbarungen und der aufeinander abgestimmten Verhaltensweisen stimmt Art. 4 Abs. 1 KG mit Art. 101 Abs. 1 der konsolidierten Fassung des Vertrags über die Arbeitsweise der Europäischen Union (AEUV; ABl. C 202 vom 7. Juni 2016 S. 1 ff.) überein (vgl. BGE 147 II 72 E. 3.1). Bei Art. 101 AEUV handelt es sich um die Nachfolgebestimmung von Art. 81 EG-Vertrag (vgl. Schröter, a.a.O., S. 46; Anhang LVA in der aktuellen Fassung vom 1. Februar 2024 [AS 2024 26, S. 3], wonach alle "Bezugnahmen in den folgenden Rechtsvorschriften auf die Artikel 81 und 82 EGV oder auf die Artikel 101 und 102 des Vertrags über die Arbeitsweise der Europäischen Union [...] als Bezugnahmen auf die Artikel 8 und 9 dieses Abkommens zu verstehen" sind; vgl. auch Janutta/Stehmann, a.a.O., S. 1600; Zurkinden/Baudenbacher, a.a.O., S. 3093 f.). Art. 8 LVA entspricht inhaltlich Art. 81 EG-Vertrag (vgl. E. 4.4.1 i.f. hiervor). Somit decken sich die Begriffe der Vereinbarungen und der aufeinander abgestimmten Verhaltensweisen auch im Verhältnis zwischen Art. 4 Abs. 1 KG und Art. 8 Abs. 1 LVA.</w:t>
      </w:r>
    </w:p>
    <w:p>
      <w:r>
        <w:t>Im Weiteren ist nach der bundesgerichtlichen Rechtsprechung für die Auslegung und Anwendung von Art. 4 Abs. 1 KG die Rechtsprechung und Literatur zum parallelen europäischen Kartellrecht zu berücksichtigen (vgl. BGE 147 II 72 E. 3.1 i.f.; vgl. auch BGE 143 II 297 E. 6.2.3 ; 137 I 72 E. 8.2.3). Liegen im Wesentlichen gleiche Sachlagen vor, kann primär davon ausgegangen werden, dass sie gleich beurteilt werden sollen (vgl. BGE 146 II 217 E. 4.3 ; 139 I 72 E. 8.2.3; Urteile 2C_561/2022 vom 23. April 2024 E. 6.4; 2C_395/2021 vom 9. Mai 2023 E. 5.4; 2C_596/2019 vom 2. November 2022 E. 8.2.3). Dementsprechend kann für die Anwendung von Art. 8 Abs. 1 LVA - zumindest dem Grundsatz nach - auf die bundesgerichtliche Rechtsprechung zu Art. 4 Abs. 1 KG sowie Art. 5 KG Bezug genommen werden (vgl. Urteil 2C_64/2023 vom 26. November 2024 E. 6.1).</w:t>
      </w:r>
    </w:p>
    <w:p>
      <w:r>
        <w:rPr>
          <w:b/>
        </w:rPr>
        <w:t>E. 6.2</w:t>
      </w:r>
    </w:p>
    <w:p>
      <w:r>
        <w:t>Wettbewerbsabreden sind laut Art. 4 Abs. 1 KG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(vgl. BGE 148 II 521 E. 6.2; 147 II 72 E. 3.1; 144 II 246 E. 6.4.1). Abreden sind sowohl Vereinbarungen als auch aufeinander abgestimmte Verhaltensweisen. Sie sind die Mittel der Verhaltenskoordination (vgl. BGE 147 II 72 E. 3.2; 129 II 18 E. 6.3). Eine Verhaltensweise fällt dann unter Abreden nach Art. 4 Abs. 1 KG , wenn es sich um ein bewusstes und gewolltes Zusammenwirken der betreffenden Unternehmen handelt (vgl. BGE 148 II 521 E. 6.2.1; 144 II 246 E. 6.4.1; 129 II 18 E. 6.3).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(vgl. BGE 147 II 72 E. 3.2; 129 II 18 E. 6.3).</w:t>
      </w:r>
    </w:p>
    <w:p>
      <w:r>
        <w:rPr>
          <w:b/>
        </w:rPr>
        <w:t>E. 6.3</w:t>
      </w:r>
    </w:p>
    <w:p>
      <w:r>
        <w:t>Vereinbarungen und abgestimmte Verhaltensweisen unterscheiden sich nicht ihrem Wesen nach, sondern nur in ihrer Intensität oder Ausdrucksform (vgl. BGE 147 II 72 E. 3.4.1).</w:t>
      </w:r>
    </w:p>
    <w:p>
      <w:r>
        <w:rPr>
          <w:b/>
        </w:rPr>
        <w:t>E. 6.3.1</w:t>
      </w:r>
    </w:p>
    <w:p>
      <w:r>
        <w:t>Eine Vereinbarung verlangt einen gemeinsamen Willen. Sie setzt eine übereinstimmende gegenseitige Willensäusserung im Sinne von Art. 1 Abs. 1 OR zwischen mindestens zwei Parteien voraus. Die Willensäusserung kann ausdrücklich oder stillschweigend erfolgen (vgl. BGE 144 II 246 E. 6.4.1). Die Vereinbarung nach Art. 4 Abs. 1 KG geht aber über den obligationenrechtlichen Vertrag auf austauschvertraglicher und gesellschaftsvertraglicher Basis hinaus, da auch rechtlich nicht erzwingbare Vereinbarungen vom Begriff der Vereinbarung erfasst sind (sogenannte Gentlemen's Agreements oder Frühstückskartelle) - wie Art. 4 Abs. 1 KG klar festhält. Entscheidend ist lediglich der Wille, sich zu binden. Der Bindungswille grenzt die Vereinbarungen von den abgestimmten Verhaltensweisen und von Verhaltensweisen ab, welche keine Abrede bilden (vgl. BGE 147 II 72 E. 3.3).</w:t>
      </w:r>
    </w:p>
    <w:p>
      <w:r>
        <w:rPr>
          <w:b/>
        </w:rPr>
        <w:t>E. 6.3.2</w:t>
      </w:r>
    </w:p>
    <w:p>
      <w:r>
        <w:t>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Der Begriff der aufeinander abgestimmten Verhaltensweise besteht aus zwei Elementen: Die Abstimmung einerseits und das darauf gestützte Verhalten andererseits (vgl. BGE 147 II 72 E. 3.4.1). Insofern ist auch klar, dass zwischen der Abstimmung und dem Marktverhalten ein Kausalzusammenhang notwendig ist (vgl. BGE 147 II 72 E. 3.4.4).</w:t>
      </w:r>
    </w:p>
    <w:p>
      <w:r>
        <w:rPr>
          <w:b/>
        </w:rPr>
        <w:t>E. 6.3.2.1</w:t>
      </w:r>
    </w:p>
    <w:p>
      <w:r>
        <w:t>In der Regel beruht eine (Verhaltens-) Abstimmung auf der Verwertung von Informationen, die unter normalen Marktbedingungen nicht ohne Weiteres zugänglich, sondern nur aufgrund eines bewussten Informationsaustauschs unter den Marktteilnehmern verfügbar sind. Dabei ist das Medium des Informationsaustauschs unerheblich. Beim Informationsaustausch handelt es sich um Informationen, welche die zukünftige Marktstrategie der Wettbewerber betreffen respektive Rückschlüsse darauf zulassen. Ihre Kenntnis vermindert oder beseitigt die normalerweise bestehenden Unsicherheiten hinsichtlich der Reaktionen anderer Marktteilnehmer auf das eigene wettbewerbliche Verhalten (vgl. BGE 147 II 72 E. 3.4.2.2).</w:t>
      </w:r>
    </w:p>
    <w:p>
      <w:r>
        <w:rPr>
          <w:b/>
        </w:rPr>
        <w:t>E. 6.3.2.2</w:t>
      </w:r>
    </w:p>
    <w:p>
      <w:r>
        <w:t>Das Vorliegen einer abgestimmten Verhaltensweise bedarf neben der unmittelbaren oder mittelbaren Fühlungnahme zwischen den Unternehmen (Abstimmung) sodann eines entsprechenden Marktverhaltens. Die Fühlungnahme allein genügt somit nicht. Hinzu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Erforderlich ist somit auch ein Abstimmungserfolg, der sich in der Regel in einem mehr oder weniger sichtbaren, tatsächlichen Marktverhalten zeigt (vgl. BGE 147 II 72 E. 3.4.3).</w:t>
      </w:r>
    </w:p>
    <w:p>
      <w:r>
        <w:rPr>
          <w:b/>
        </w:rPr>
        <w:t>E. 6.4</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w:t>
      </w:r>
    </w:p>
    <w:p>
      <w:r>
        <w:rPr>
          <w:b/>
        </w:rPr>
        <w:t>E. 6.4.1</w:t>
      </w:r>
    </w:p>
    <w:p>
      <w:r>
        <w:t>Die Beseitigung des wirksamen Wettbewerbs kann direkt nachgewiesen werden oder sich auch aus den gesetzlichen Vermutungstatbeständen von Art. 5 Abs. 3 und Abs. 4 KG ergeben (vgl. BGE 147 II 72 E. 6.1 und E. 6.5; 143 II 297 E. 4.1). Die Beseitigung wirksamen Wettbewerbs wird namentlich bei Abreden über die direkte oder indirekte Festsetzung von Preisen vermutet (vgl. Art. 5 Abs. 3 lit. a KG ; Urteil 2C_785/2022 vom 16. April 2024 E. 5.6.1). Eine Rechtfertigung aus Gründen der wirtschaftlichen Effizienz ist in diesem Fall ausgeschlossen (vgl. BGE 147 II 72 E. 6.1). Führt die Abrede zu keiner Beseitigung des wirksamen Wettbewerbs, ist indes zu prüfen, ob sie den Wettbewerb auf einem Markt für bestimmte Waren oder Leistungen nach Art. 5 Abs. 1 KG erheblich beeinträchtigt (vgl. BGE 143 II 297 E. 5).</w:t>
      </w:r>
    </w:p>
    <w:p>
      <w:r>
        <w:rPr>
          <w:b/>
        </w:rPr>
        <w:t>E. 6.4.2</w:t>
      </w:r>
    </w:p>
    <w:p>
      <w:r>
        <w:t>Die Erheblichkeit stellt eine Bagatellklausel dar und bildet ein Aufgreifkriterium (vgl. BGE 144 II 194 E. 4.3.1; 143 II 297 E. 5.1). Aus der Auslegung des Begriffs der Erheblichkeit folgt, dass bei der Bestimmung deren materiellen Gehalts qualitative Kriterien, die sich aus dem Gesetzestext ableiten lassen, zu bevorzugen sind. Nach Auffassung des Gesetzgebers sind die Abreden nach Art. 5 Abs. 3 und Abs. 4 KG aufgrund ihres Gegenstands erheblich, sodass jedenfalls eine erhebliche Wettbewerbsbeeinträchtigung vorliegt, wenn die Vermutung einer Beseitigung des wirksamen Wettbewerbs widerlegt wird. Denn die nach Art. 5 Abs. 3 und Abs. 4 KG besonders schädlichen Abreden behalten ihre Schädlichkeit auch nach der Widerlegung der Vermutung der Beseitigung des wirksamen Wettbewerbs. In der Regel sind daher keine quantitativen Kriterien mehr notwendig, um zu bestimmen, ob die Beeinträchtigung des Wettbewerbs durch die Abreden im Sinne von Art. 5 Abs. 3 und Abs. 4 KG erheblich ist (vgl. BGE 144 II 194 E. 4.3.1; 143 II 297 E. 5.2).</w:t>
      </w:r>
    </w:p>
    <w:p>
      <w:r>
        <w:rPr>
          <w:b/>
        </w:rPr>
        <w:t>E. 6.4.3</w:t>
      </w:r>
    </w:p>
    <w:p>
      <w:r>
        <w:t>Nach der bundesgerichtlichen Rechtsprechung gilt somit, dass die in Art. 5 Abs. 3 und Abs. 4 KG aufgeführten Abreden im Grundsatz die Erheblichkeitsschwelle erreichen und somit das Kriterium der Erheblichkeit nach Art. 5 Abs. 1 KG erfüllen (vgl. BGE 147 II 72 E. 6.5; 143 II 297 E. 5.2.5 und E. 5.6). Ferner soll bei der Beurteilung der Frage, ob der Wettbewerb durch die Abrede beeinträchtigt wird, auch der potenzielle Wettbewerb geschützt werden. Denn mit der Vereinbarung und nicht erst mit der Umsetzung oder der Praktizierung der Abreden wird "ein Klima der Wettbewerbsfeindlichkeit" geschaffen, das "volkswirtschaftlich oder sozial schädlich" für das Funktionieren des normalen Wettbewerbs ist. Es genügt somit, dass Abreden den Wettbewerb potenziell beeinträchtigen können. Auf den tatsächlichen Eintritt einer Beeinträchtigung kommt es nicht an ( BGE 143 II 297 E. 5.4.2; vgl. auch BGE 144 II 194 E. 4.3.2).</w:t>
      </w:r>
    </w:p>
    <w:p>
      <w:r>
        <w:rPr>
          <w:b/>
        </w:rPr>
        <w:t>E. 6.4.4</w:t>
      </w:r>
    </w:p>
    <w:p>
      <w:r>
        <w:t>Beeinträchtigt eine Abrede den Wettbewerb auf einem Markt für bestimmte Waren oder Leistungen nach Art. 5 Abs. 1 KG erheblich, ist in einem weiteren Schritt zu prüfen, ob die Abrede durch Gründe der wirtschaftlichen Effizienz gerechtfertigt werden kann (vgl. BGE 147 II 72 E. 6.5 i.f.; 144 II 194 E. 4.4.1 i.f.; 143 II 297 E. 5). Gemäss Art. 5 Abs. 2 lit. a und lit. b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Grundsätzlich ist eine Abrede dann gerechtfertigt, wenn das Resultat effizienter ist als ohne die Abrede und der wirksame Wettbewerb nicht beseitigt wird. Ziel der Effizienzprüfung bildet, die "positiven" Abreden von solchen zu unterscheiden, die hauptsächlich der Erzielung einer Kartellrente dienen. Damit eine Abrede gestützt auf Art. 5 Abs. 2 KG gerechtfertigt ist, müssen die drei in Art. 5 Abs. 2 KG genannten Voraussetzungen kumulativ erfüllt sein (vgl. BGE 147 II 72 E. 7.2; 143 II 297 E. 7.1).</w:t>
      </w:r>
    </w:p>
    <w:p>
      <w:r>
        <w:t>XXV. Abrede über die Nicht-Kommissionierung von Zuschlägen im Besonderen</w:t>
      </w:r>
    </w:p>
    <w:p>
      <w:r>
        <w:rPr>
          <w:b/>
        </w:rPr>
        <w:t>E. 7</w:t>
      </w:r>
    </w:p>
    <w:p>
      <w:r>
        <w:t>Die Beschwerdeführerin beanstandet sowohl die vorinstanzliche Sachverhaltsermittlung (vgl. E. 7.3 hiernach) als auch die rechtliche Würdigung (vgl. E. 7.4 ff. hiernach) des Informationsaustauschs über die Nicht-Kommissionierung von Zuschlägen im Rahmen des D.________ (nachfolgend nur: "L1.________").</w:t>
      </w:r>
    </w:p>
    <w:p>
      <w:r>
        <w:rPr>
          <w:b/>
        </w:rPr>
        <w:t>E. 7.1</w:t>
      </w:r>
    </w:p>
    <w:p>
      <w:r>
        <w:t>Die Beschwerdeführerin macht geltend, die Vorinstanz hätte berücksichtigen müssen, dass sie in der EU mit Urteil des EuG T-341/17 vom 20. März 2022 von der Abrede über die Verweigerung von Kommissionen auf Zuschlägen entlastet worden sei. Die vorinstanzliche Sachverhaltsermittlung zum diesbezüglichen, angeblich wettbewerbswidrigen Verhalten beschränke sich auf einen einzigen E-Mail-Austausch vom 6. Juni 2005. Am 6. Juni 2005 habe der "L1.________" an seine Mitglieder eine E-Mail mit dem Vorschlag versendet, am 17. Juni 2005 eine Besprechung zur Anfrage von O1.________ durchzuführen, wonach auf den Zuschlägen Kommissionen zu zahlen seien. In rechtlicher Hinsicht werfe die Vorinstanz der Beschwerdeführerin zu Unrecht vor, sich nicht genügend von dieser Korrespondenz distanziert zu haben. Die Beschwerdeführerin macht geltend, es sei hinlänglich bekannt und ihre konstante Geschäftspolitik gewesen, dass sie Zuschläge generell nicht kommissioniert habe. Entsprechend könne von vornherein keine abgestimmte Verhaltensweise vorliegen. Im Übrigen fehle es auch an den Voraussetzungen des koordinierten Marktverhaltens sowie des Kausalzusammenhangs zwischen der Abstimmung und dem Marktverhalten. Letztlich habe diese Korrespondenz auch keine Wettbewerbsbeschränkung auf den vorliegend fünf relevanten Flugstrecken bewirkt. Eine allfällige Abrede, so die Beschwerdeführerin weiter, stelle keine Preisabrede im Sinne von Art. 5 Abs. 3 lit. a KG dar, da die Kommission keinen Preisbestandteil der Frachtrate bilde, die die Luftfahrtunternehmen ihren Kunden in Rechnung stellten. Vielmehr werde die Kommission den Spediteuren für ihre Vermittlungsdienstleistung bezahlt.</w:t>
      </w:r>
    </w:p>
    <w:p>
      <w:r>
        <w:rPr>
          <w:b/>
        </w:rPr>
        <w:t>E. 7.2</w:t>
      </w:r>
    </w:p>
    <w:p>
      <w:r>
        <w:t>Die WEKO bringt in ihrer Vernehmlassung vor Bundesgericht vor, es sei mit Blick auf die Nicht-Kommissionierung von Zuschlägen jedenfalls von einer abgestimmten Verhaltensweise auszugehen. Die Vorinstanz habe den Informationsaustausch im Rahmen des "L1.________" ausführlich ermittelt. Entscheidend sei, dass sich die Beschwerdeführerin nicht vom gemeinsamen Vorgehen im Rahmen des "L1.________", dessen Mitglied sie gewesen sei, distanziert habe. Sie habe vielmehr Kund getan, dass sie auch in Zukunft die Zuschläge nicht kommissionieren werde. Der blosse Umstand, dass ein anderes (ausländisches) Gericht zu einem anderen Beweisergebnis gelange, zeige noch nicht, dass die vorinstanzliche Sachverhaltsermittlung offensichtlich unrichtig sei. Ausserdem, so die WEKO in rechtlicher Hinsicht weiter, sei für die Sanktionierung bloss von Bedeutung, dass die Abrede nach dem Inkrafttreten von Art. 49a KG aufrechterhalten worden sei und sie sich nach wie vor wettbewerbsbeschränkend ausgewirkt habe. Im Übrigen sei entgegen der Auffassung der Beschwerdeführerin lediglich erforderlich, dass die Abrede objektiv geeignet sei, eine Wettbewerbsbeschränkung durch die Beeinträchtigung eines Wettbewerbsparameters zu bewirken. Mit Bezug auf das erforderliche Marktverhalten sei festzuhalten, dass die Verhaltensweisen der Beschwerdeführerin sowie der übrigen Mitglieder des "L1.________" übereingestimmt hätten. Sie alle hätten die Kommissionierung verweigert. Durch den Informationsaustausch habe sich die Beschwerdeführerin in ihrem zukünftigen Verhalten bestärkt gesehen und die Ungewissheit über das Verhalten der Mitbewerber sei reduziert worden. Selbst wenn die Beschwerdeführerin nicht geplant habe, zukünftig Zuschläge zu kommissionieren, habe sie fortan die Gewissheit gehabt, dass sich die anderen Mitglieder gleich verhalten würden.</w:t>
      </w:r>
    </w:p>
    <w:p>
      <w:r>
        <w:rPr>
          <w:b/>
        </w:rPr>
        <w:t>E. 7.3</w:t>
      </w:r>
    </w:p>
    <w:p>
      <w:r>
        <w:t>In einem ersten Schritt ist auf die Kritik der Beschwerdeführerin an der vorinstanzlichen Sachverhaltsermittlung einzugehen.</w:t>
      </w:r>
    </w:p>
    <w:p>
      <w:r>
        <w:rPr>
          <w:b/>
        </w:rPr>
        <w:t>E. 7.3.1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148 V 366 E. 3.3 ; 147 I 73 E. 2.2).</w:t>
      </w:r>
    </w:p>
    <w:p>
      <w:r>
        <w:rPr>
          <w:b/>
        </w:rPr>
        <w:t>E. 7.3.2</w:t>
      </w:r>
    </w:p>
    <w:p>
      <w:r>
        <w:t>Die Vorinstanz beschränkt die Sachverhaltsermittlung in der vorliegenden Angelegenheit auf die für die Beschwerdeführerin relevanten und von dieser anerkannten fünf Drittlandstrecken (vgl. E. 8.4.8 des angefochtenen Urteils).</w:t>
      </w:r>
    </w:p>
    <w:p>
      <w:r>
        <w:rPr>
          <w:b/>
        </w:rPr>
        <w:t>E. 7.3.2.1</w:t>
      </w:r>
    </w:p>
    <w:p>
      <w:r>
        <w:t>Die Vorinstanz berücksichtigt, ohne dass dies die Beschwerdeführerin im bundesgerichtlichen Verfahren beanstandet (vgl. Art. 105 Abs. 1 BGG ), dass allen Mitgliedern des "L1.________", darunter der Beschwerdeführerin, im Nachgang zu den diversen "Informationsrunden" die Protokolle der "L1.________"-Treffen über deren Internetseite grundsätzlich zugänglich gewesen sind (vgl. E. 11.2.13 des angefochtenen Urteils). Beim "L1.________" handelt es sich unbestrittenermassen um eine einfache Gesellschaft im Sinne von Art. 530 OR , die gemäss den Statuten unter anderem bezweckt was folgt: "To anticipate, prevent and if necessary, solve air cargo related problems, that have a general relevance to members of the partnership" (vgl. E. 11.4 des angefochtenen Urteils). Die Beschwerdeführerin, so die Vorinstanz weiter, sei im "L1.________" vertreten gewesen und stelle nicht in Abrede, dass sie als Mitglied des "L1.________" gewusst habe, dass die Protokolle der Treffen ab Oktober 2001 auf der Internetseite einsehbar gewesen seien (vgl. E. 11.2.13 des angefochtenen Urteils).</w:t>
      </w:r>
    </w:p>
    <w:p>
      <w:r>
        <w:rPr>
          <w:b/>
        </w:rPr>
        <w:t>E. 7.3.2.2</w:t>
      </w:r>
    </w:p>
    <w:p>
      <w:r>
        <w:t>Die Vorinstanz stellt weiter fest, aus den Akten gehe hervor, dass O1.________, der Verband schweizerischer Speditions- und Logistikunternehmen, am 30. Mai 2005 verschiedene Luftverkehrsunternehmen angeschrieben habe, um Kommissionen auf Zuschlägen zu fordern, und dass der "L1.________" am 6. Juni 2005 alle Mitglieder, darunter die Beschwerdeführerin, für den 17. Juni 2005 zu einer informellen Besprechung zu dieser Thematik eingeladen habe. Daraufhin seien diverse E-Mail versendet worden, in deren Verteiler auch die Beschwerdeführerin aufgeführt gewesen sei (vgl. E. 12.1.4 S. 102 und E. 12.2.4 des angefochtenen Urteils). Nach den Angaben der Beschwerdeführerin, so die Vorinstanz weiter, sei etwa am 6. Februar 2006 ein telefonischer Kontakt zwischen ihr und dem G.________ erfolgt. Eines der Themen sei die Frage der Kommissionierung von Zuschlägen gewesen. Die Beschwerdeführerin habe mitgeteilt, dass es nicht ihre Strategie sei, Kommissionen auf Zuschläge zu zahlen (vgl. E. 12.1.6 des angefochtenen Urteils).</w:t>
      </w:r>
    </w:p>
    <w:p>
      <w:r>
        <w:rPr>
          <w:b/>
        </w:rPr>
        <w:t>E. 7.3.3</w:t>
      </w:r>
    </w:p>
    <w:p>
      <w:r>
        <w:t>Es ist festzuhalten, dass die Beschwerdeführerin die vorinstanzlichen Feststellungen zu den Inhalten der "Informationsrunden", der Protokolle der "L1.________"-Treffen und den vorinstanzlich gewürdigten</w:t>
      </w:r>
    </w:p>
    <w:p>
      <w:r>
        <w:t>E-Mails nicht hinreichend bestreitet. Sie stellt auch den Umstand nicht substanziiert infrage, dass sich die Mitglieder des "L1.________" über die Nicht-Kommissionierung von Zuschlägen ausgetauscht haben. Ferner bleibt unbestritten, dass die Beschwerdeführerin im Verteiler der</w:t>
      </w:r>
    </w:p>
    <w:p>
      <w:r>
        <w:t>E-Mails betreffend die Nicht-Kommissionierung von Zuschlägen aufgeführt gewesen ist. Ausserdem ist erstellt, dass die Beschwerdeführerin Kund getan hat, dass sie auch in Zukunft die Zuschläge nicht kommissionieren werde. Ebenso streitet die Beschwerdeführerin nicht ab, dass sich alle Mitglieder des "L1.________" effektiv gleich verhalten und die Kommissionierung von Zuschlägen verweigert hätten. Vor diesem Hintergrund vermögen die von der Beschwerdeführerin vorgetragenen Sachverhaltsrügen im Ergebnis keine unhaltbare Beweiswürdigung durch die Vorinstanz aufzuzeigen. Vor diesem Hintergrund ist der Umstand, dass ein anderes (ausländisches) Gericht zu einem anderen Beweisergebnis gelangt ist, nicht von Belang. Daraus ergibt sich nach der bundesgerichtlichen Rechtsprechung - jedenfalls für sich allein - kein hinreichend begründeter Anhaltspunkt, dass die Vorinstanz den Sachverhalt offensichtlich unrichtig festgestellt hat (vgl. auch Urteil 2C_64/2023 vom 26. November 2024 E. 7.4.1).</w:t>
      </w:r>
    </w:p>
    <w:p>
      <w:r>
        <w:rPr>
          <w:b/>
        </w:rPr>
        <w:t>E. 7.4</w:t>
      </w:r>
    </w:p>
    <w:p>
      <w:r>
        <w:t>Im zweiten Schritt ist zu prüfen, ob der Informationsaustausch über die Nicht-Kommissionierung von Zuschlägen unter den Begriff der Wettbewerbsabrede im Sinne von Art. 8 Abs. 1 (Teilsatz 1) LVA in Verbindung mit Art. 4 Abs. 1 (Teilsatz 1) KG fällt. Die Vorinstanz geht primär davon aus, dass der Informationsaustausch über die Nicht-Kommissionierung von Zuschlägen eine Vereinbarung darstellt. Im Sinne einer Eventualbegründung hält die Vorinstanz auch die Variante der abgestimmten Verhaltensweise als erfüllt (vgl. E. 12.2.6 i.V.m. E. 11.4 i.f. S. 95 des angefochtenen Urteils).</w:t>
      </w:r>
    </w:p>
    <w:p>
      <w:r>
        <w:rPr>
          <w:b/>
        </w:rPr>
        <w:t>E. 7.4.1</w:t>
      </w:r>
    </w:p>
    <w:p>
      <w:r>
        <w:t>Gemäss den Statuten des "L1.________" bezweckt die einfache Gesellschaft "[to] anticipate, prevent and if necessary, solve air cargo related problems, that have a general relevance to members of the partnership" (vgl. E. 7.3.2.1 hiervor; E. 11.4 des angefochtenen Urteils). Der Wortlaut der Statuten allein lässt zwar noch nicht auf eine Vereinbarung oder Abstimmung schliessen, die eine Wettbewerbsbeschränkung bezweckt oder bewirkt (vgl. BGE 147 II 72 E. 3.2). Aus der für das Bundesgericht verbindlichen, vorinstanzlichen Sachverhaltsermittlung zeigt sich jedoch, dass sich die fraglichen Unternehmen - d. h. die Mitglieder des "L1.________" - über Informationen ihrer Wettbewerberinnen generell austauschen wollten und dies, wenn Anlass dazu bestand, jeweils auch taten, um auf diesem Weg über die geplanten oder bereits vollzogenen Schritte der Konkurrenz informiert zu sein. Dies gilt namentlich auch mit Blick auf den Informationsaustausch betreffend die Nicht-Kommissionierung von Zuschlägen. Die Mitglieder respektive deren Vertreter trafen sich nicht nur informell, vielmehr organisierten sie den Informationsaustausch im "L1.________", in dessen Rahmen unter anderem Informationen systematisch gesammelt und verbreitet wurden. Auch wenn jeweils nicht konkrete Preisniveaus - vertraglich - vereinbart wurden, reduzierten die Mitglieder des "L1.________" durch ihre Teilnahme am Informationsaustausch ihre Geschäftsrisiken, da sie "die Ungewissheit hinsichtlich des künftigen Verhaltens" der Wettbewerber beseitigten (Urteil des EuG T-324/17 vom 30. März 2022 Rz. 363). In Anbetracht der Institutionalisierung des Informationsaustauschs im Rahmen des "L1.________" ist jedenfalls von einer Verhaltensabstimmung auszugehen. Ob darüber hinaus auch ein hinreichender Bindungswille der Mitglieder vorliegt, der zwar rechtlich möglicherweise nicht erzwingbar ist, aber rechtsprechungsgemäss als Vereinbarung im Sinne von Art. 8 Abs. 1 (1. Teilsatz) LVA in Verbindung mit Art. 4 Abs. 1 (1. Teilsatz) KG gilt, kann dahingestellt bleiben (vgl. BGE 147 II 72 E. 3.3; 144 II 246 E. 6.4.1).</w:t>
      </w:r>
    </w:p>
    <w:p>
      <w:r>
        <w:rPr>
          <w:b/>
        </w:rPr>
        <w:t>E. 7.4.2</w:t>
      </w:r>
    </w:p>
    <w:p>
      <w:r>
        <w:t>Aus den vorinstanzlichen Sachverhaltsdarstellungen ist die Umsetzung der Verhaltensabstimmung sodann ohne Weiteres zu erkennen. Einerseits ist unbestritten, dass die Verhaltensweisen der Beschwerdeführerin sowie der übrigen Mitglieder des "L1.________" zur Frage der Kommissionierung übereinstimmten. Sie alle verweigerten die Kommissionierung. In dieses Bild passt, dass die Beschwerdeführerin gegenüber den anderen Mitgliedern des "L1.________" auch kommunizierte, ihre Geschäftspolitik beizubehalten, wonach sie keine Kommissionen auf den Zuschlägen entrichte (vgl. E. 7.3.2.2 hiervor). Durch den Informationsaustausch sah sich die Beschwerdeführerin in ihrer Geschäftspolitik zumindest bestärkt und sie reduzierte mit ihrer Mitteilung die Ungewissheit über ihr Verhalten für die anderen Mitglieder des "L1.________". Überdies hatte die Beschwerdeführerin, auch wenn sie nicht plante, zukünftig Zuschläge zu kommissionieren, fortan die Gewissheit, dass sich die anderen Mitglieder gleich verhalten werden. Vor diesem Hintergrund ist nicht zu beanstanden, dass die Vorinstanz von der Beschwerdeführerin eine aktive Distanzierung vom Informationsaustausch betreffend die Nicht-Kommissionierung von Zuschlägen verlangt, aber im bundesrechtskonform ermittelten Sachverhalt eine solche nicht erkannt hat (vgl. E. 12.2.5 des angefochtenen Urteils; vgl. auch Urteil des EuG T-324/17 vom 30. März 2022 Rz. 363, wonach "zu beachten [ist], dass ein Unternehmen, wenn es solche Informationen erhält, ohne sich offen von der in Rede stehenden Initiative zu distanzieren oder sie bei den Verwaltungsbehörden anzuzeigen, die Fortsetzung der Zuwiderhandlung begünstigt und ihre Entdeckung verhindert"; Urteil 2C_64/2023 vom 26. November 2024 E. 8.4.1).</w:t>
      </w:r>
    </w:p>
    <w:p>
      <w:r>
        <w:rPr>
          <w:b/>
        </w:rPr>
        <w:t>E. 7.4.3</w:t>
      </w:r>
    </w:p>
    <w:p>
      <w:r>
        <w:t>Die von der Beschwerdeführerin vorgetragene Behauptung, wonach sie ohnehin nicht beabsichtigt habe, Kommissionen auf die Zuschläge zu zahlen, vermag auch die Kausalität zwischen der Abstimmung und deren Umsetzung nicht infrage zu stellen. Insbesondere bleibt der Umstand bestehen, dass die Beschwerdeführerin den Mitgliedern des "L1.________" ihr Verhalten mitteilte und auf diese Weise zur Umsetzung der Abstimmung beitrug. Der Abstimmungserfolg zeichnete sich insofern dadurch aus, dass er auf Gegenseitigkeit beruhte, unabhängig von welchem Mitglied des "L1.________" die Absprache initiiert wurde. Es lag somit ein Marktverhalten vor, das von der gegenseitigen Abstimmung beeinflusst war (vgl. BGE 147 II 72 E. 3.4.3). Angesichts des Umstands, dass - wie im Wettbewerbsrecht generell (vgl. BGE 139 I 72 E. 8.3.2; Urteil 2C_561/2022 vom 23. April 2024 E. 10.4.3.1) - auch bei Abreden die Anforderungen an die Beweise nicht zu hoch sein dürfen (vgl. BGE 147 II 72 E. 3.4.4; 144 II 246 E. 6.4.4), ist das angeführte Beweisergebnis für den Nachweis einer tatsächlich umgesetzten Abstimmung ausreichend. Der Austausch über die Nicht-Kommissionierung von Zuschlägen zwischen den zueinander in einem horizontalen Konkurrenzverhältnis stehenden Mitgliedern des "L1.________" im Rahmen der Treffen erfüllt damit den ersten Teil des Tatbestands von Art. 8 Abs. 1 (1. Teilsatz) LVA in Verbindung mit Art. 4 Abs. 1 (1. Teilsatz) KG.</w:t>
      </w:r>
    </w:p>
    <w:p>
      <w:r>
        <w:rPr>
          <w:b/>
        </w:rPr>
        <w:t>E. 7.5</w:t>
      </w:r>
    </w:p>
    <w:p>
      <w:r>
        <w:t>Zu prüfen bleibt, ob mit dem Informationsaustausch in Gestalt einer abgestimmten Verhaltensweise eine Wettbewerbsbeschränkung bezweckt oder bewirkt wurde (vgl. Art. 8 Abs. 1 [2. Teilsatz] LVA i.V.m. Art. 4 Abs. 1 [2. Teilsatz] KG).</w:t>
      </w:r>
    </w:p>
    <w:p>
      <w:r>
        <w:rPr>
          <w:b/>
        </w:rPr>
        <w:t>E. 7.5.1</w:t>
      </w:r>
    </w:p>
    <w:p>
      <w:r>
        <w:t>In diesem Zusammenhang vermag das von der Beschwerdeführerin angeführte Argument, wonach der Austausch der Informationen ohne wettbewerbsrelevanten Einfluss gewesen sei, von vornherein nicht zu überzeugen: Die Verhaltensabstimmung beruhte auf der Verwertung von Informationen, die unter normalen Marktbedingungen nicht ohne Weiteres zugänglich, sondern nur aufgrund eines bewussten Informationsaustauschs unter den Marktteilnehmern im Rahmen der "L1.________"-Treffen verfügbar waren (vgl. auch BGE 147 II 72 E. 3.4.2.2). Dabei ist das Medium des Informationsaustauschs unerheblich (vgl. Urteil des EuGH C-74/14 vom 21. Januar 2016 Rz. 44). Der Informationsaustausch bezog sich auf Informationen, die die zukünftige Marktstrategie der Wettbewerber zur Nicht-Kommissionierung von Zuschlägen betrafen oder Rückschlüsse darauf zuliessen. Ihre Kenntnis verminderte oder beseitigte die ansonsten bestehenden Unsicherheiten hinsichtlich der Reaktionen anderer Marktteilnehmer auf das eigene wettbewerbliche Verhalten (vgl. auch BGE 147 II 72 E. 3.4.2.2).</w:t>
      </w:r>
    </w:p>
    <w:p>
      <w:r>
        <w:rPr>
          <w:b/>
        </w:rPr>
        <w:t>E. 7.5.2</w:t>
      </w:r>
    </w:p>
    <w:p>
      <w:r>
        <w:t>Wie die Vorinstanz zutreffend erwägt, erfolgte mit dem Informationsaustausch eine gegenseitige Bestätigung des Verhaltens, was auch bei bereits öffentlich angekündigten geplanten Änderungen oder beim Festhalten an einer bestimmten Geschäftspolitik eine gegenseitige Absicherung hinsichtlich des künftigen Handelns erlaubte (vgl. E. 12.2.6 i.V.m. E. 11.4 des angefochtenen Urteils). Der kartellrechtliche Abredebegriff erfasst auch eine Abrede zwischen Luftfahrtunternehmen, in den jeweiligen Vertragsverhältnissen mit ihren Spediteuren, Letzteren einen bestimmten Preis (teilweise) nicht zu bezahlen (vgl. Urteil 2C_785/2022 vom 16. April 2024 E. 5.4 f. [betreffend die Verweigerung von Preisnachlässen in Form maximaler Rabatte]). Die Übereinkunft, eine Kommissionierung zu verweigern, verminderte die strategische Ungewissheit der Unternehmen und erhöhte die Wahrscheinlichkeit eines wirksamen Kollusionsergebnisses stark, weshalb von einer bezweckten oder bewirkten Verhinderung, Einschränkung oder Verfälschung des Wettbewerbs respektive Wettbewerbsbeschränkung ausgegangen werden kann. Somit ist auch der zweite Teil des Tatbestands von Art. 8 Abs. 1 (2. Teilsatz) LVA in Verbindung mit Art. 4 Abs. 1 (2. Teilsatz) KG erfüllt.</w:t>
      </w:r>
    </w:p>
    <w:p>
      <w:r>
        <w:rPr>
          <w:b/>
        </w:rPr>
        <w:t>E. 7.5.3</w:t>
      </w:r>
    </w:p>
    <w:p>
      <w:r>
        <w:t>Im Ergebnis geht die Vorinstanz zu Recht davon aus, dass die Beschwerdeführerin am Informationsaustausch des "L1.________" beteiligt gewesen ist und dieser Austausch von Informationen eine Abrede im Sinne von Art. 8 Abs. 1 LVA in Verbindung mit Art. 4 Abs. 1 KG darstellt. Aufgrund aller Umstände, insbesondere der Tatsache, dass der Informationsaustausch und deren Verbreitung institutionalisiert im Rahmen einer einfachen Gesellschaft stattgefunden hat, ist nicht nur betreffend die Abrede über die Treibstoffzuschläge, was vor Bundesgericht nicht mehr Streitgegenstand darstellt, sondern auch betreffend die Abrede über die Nicht-Kommissionierung von Zuschlägen zumindest von abgestimmten Verhaltensweisen auszugehen, die eine Verhinderung, Einschränkung oder Verfälschung des Wettbewerbs respektive eine Wettbewerbsbeschränkung bezweckt oder bewirkt haben.</w:t>
      </w:r>
    </w:p>
    <w:p>
      <w:r>
        <w:rPr>
          <w:b/>
        </w:rPr>
        <w:t>E. 7.6</w:t>
      </w:r>
    </w:p>
    <w:p>
      <w:r>
        <w:t>Die Beschwerdeführerin rügt im Weiteren eine Verletzung von Art. 8 Abs. 1 lit. a LVA in Verbindung mit Art. 5 Abs. 1 und Abs. 3 lit. a KG.</w:t>
      </w:r>
    </w:p>
    <w:p>
      <w:r>
        <w:rPr>
          <w:b/>
        </w:rPr>
        <w:t>E. 7.6.1</w:t>
      </w:r>
    </w:p>
    <w:p>
      <w:r>
        <w:t>Entgegen der Auffassung der Beschwerdeführerin handelt es sich bei der Nicht-Kommissionierung von Zuschlägen um ein Element des Preises im Sinne von Art. 8 Abs. 1 lit. a LVA in Verbindung mit Art. 5 Abs. 3 lit. a KG (vgl. auch Urteil 2C_785/2022 vom 16. April 2024 E. 5.5). Zwar trägt die Beschwerdeführerin schlüssig vor, dass die Luftfahrtunternehmen die (verweigerte) Kommission nicht den Kunden in Rechnung gestellt, sondern an die Spediteure für deren Vermittlungsdienstleistung gezahlt hätten. Die Beschwerdeführerin lässt indes ausser Acht, dass die Luftfahrtunternehmen die (bezahlten) Kommissionen letztlich indirekt in ihre Preiskalkulation zur Festlegung der Frachtraten einbezogen hätten. Selbst die Beschwerdeführerin stellt nicht in Abrede, dass die (bezahlten) Kommissionen aus Sicht der Luftfahrtunternehmen Kosten dargestellt hätten.</w:t>
      </w:r>
    </w:p>
    <w:p>
      <w:r>
        <w:rPr>
          <w:b/>
        </w:rPr>
        <w:t>E. 7.6.2</w:t>
      </w:r>
    </w:p>
    <w:p>
      <w:r>
        <w:t>Die der Beschwerdeführerin rechtsgenüglich nachgewiesene Abrede im Sinne von Art. 8 Abs. 1 LVA in Verbindung mit Art. 4 Abs. 1 KG stellt daher eine besonders schädliche horizontale Abrede nach Art. 5 Abs. 3 lit. a KG dar, womit die Beseitigung des Wettbewerbs zu vermuten ist. Im Übrigen wäre auch das Kriterium der Erheblichkeit nach Art. 5 Abs. 1 KG im Sinne der bundesgerichtlichen Rechtsprechung allein aufgrund des preisbezogenen Gegenstands erfüllt, ohne dass eine quantitative Analyse der tatsächlichen Auswirkungen der Abreden vorgenommen werden müsste (vgl. E. 6.4.2 f. hiervor; Urteil 2C_785/2022 vom 16. April 2024 E. 5.6.3). Die fragliche Abrede würde daher auch die Erheblichkeitsschwelle im Sinne von Art. 5 Abs. 1 KG erreichen. Allerdings sind Effizienzgründe nach Art. 5 Abs. 2 KG von vornherein nicht ersichtlich und den Ausführungen der Beschwerdeführerin zu den Einkaufskooperationen ist nicht zu folgen. Insofern braucht nicht abschliessend geprüft zu werden, ob die Vermutung der Beseitigung des wirksamen Wettbewerbs widerlegt werden kann.</w:t>
      </w:r>
    </w:p>
    <w:p>
      <w:r>
        <w:rPr>
          <w:b/>
        </w:rPr>
        <w:t>E. 7.7</w:t>
      </w:r>
    </w:p>
    <w:p>
      <w:r>
        <w:t>Im Ergebnis liegt eine mit dem Luftverkehrsabkommen unvereinbare und verbotene respektive unzulässige (Preis-) Abrede im Sinne von Art. 8 Abs. 1 lit. a LVA in Verbindung mit Art. 4 Abs. 1 KG sowie Art. 5 Abs. 1 und Abs. 3 lit. a KG vor. Entgegen der Auffassung der Beschwerdeführerin liegt kein Bagatellfall vor, zumal ein Bagatellfall bei Preisabreden im Grundsatz ohnehin ausser Betracht fällt (vgl. Urteil 2C_785/2022 vom 16. April 2024 E. 5.6 ff.).</w:t>
      </w:r>
    </w:p>
    <w:p>
      <w:r>
        <w:t>XXV. Sanktion</w:t>
      </w:r>
    </w:p>
    <w:p>
      <w:r>
        <w:rPr>
          <w:b/>
        </w:rPr>
        <w:t>E. 8</w:t>
      </w:r>
    </w:p>
    <w:p>
      <w:r>
        <w:t>Die Beschwerdeführerin beanstandet eine rechtsfehlerhafte Anwendung von Art. 49a Abs. 1 KG .</w:t>
      </w:r>
    </w:p>
    <w:p>
      <w:r>
        <w:rPr>
          <w:b/>
        </w:rPr>
        <w:t>E. 8.1</w:t>
      </w:r>
    </w:p>
    <w:p>
      <w:r>
        <w:t>Die Beschwerdeführerin bringt vor, die Vorinstanz habe zwar den für den Basisbetrag angenommenen Prozentsatz von 8 % auf 6 % reduziert. Der Prozentsatz hätte aber weiter gesenkt werden müssen, da die Beschwerdeführerin nicht an der Abrede über die Nicht-Kommissionierung von Zuschlägen beteiligt gewesen sei. Die blosse Beteiligung an der Abrede über die Treibstoffzuschläge, die im bundesgerichtlichen Verfahren nicht mehr zur Diskussion gestellt werde, rechtfertige eine weitere Reduktion auf 5 %. Sodann sei die Erhöhung des Basisbetrags um yyy % wegen erschwerender Umstände - nämlich der Teilnahme an zwei Abreden - unzulässig. Diesbezüglich liege eine Verletzung des Doppelverwertungsverbots vor, da dieser Umstand bereits bei der Art und Schwere des Verstosses im Rahmen des Basisbetrags berücksichtigt werde. Nach Auffassung der Beschwerdeführerin hat die Vorinstanz zudem mildernde Umstände ausser Acht gelassen, weshalb der Basisbetrag um yyy % zu reduzieren sei.</w:t>
      </w:r>
    </w:p>
    <w:p>
      <w:r>
        <w:rPr>
          <w:b/>
        </w:rPr>
        <w:t>E. 8.2</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Im Rahmen der konkreten Sanktionsbemessung wird der im Einzelfall auszusprechende Betrag innerhalb des abstrakten - in Art. 49a Abs. 1 Satz 1 KG festgelegten - Sanktionsrahmens anhand der in Art. 2 ff. der Verordnung vom 12. März 2004 über die Sanktionen bei unzulässigen Wettbewerbsbeschränkungen (KG-Sanktionsverordnung, SVKG; SR 251.5) enthaltenen Kriterien in drei Schritten konkret bestimmt (vgl. Art. 49a Abs. 1 Satz 3 f. KG; BGE 146 II 217 E. 9.1; 144 II 194 E. 6.2; 143 II 297 E. 9.7.1; vgl. auch Urteile 2C_561/2022 vom 23. April 2024 E. 13.2; 2C_395/2021 vom 9. Mai 2023 E. 11.1; 2C_39/2020 vom 3. August 2022 E. 9.1, nicht publ. in: BGE 148 II 521 ) : Ermittlung des Basisbetrags (vgl. Art. 3 SVKG ); Anpassung an die Dauer des Verstosses (vgl. Art. 4 SVKG ); Erhöhung oder Verminderung entsprechend erschwerender oder mildernder Umstände (vgl. Art. 5 f. SVKG). Die Sanktion ist begrenzt: Sie kann in keinem Fall mehr als 10 Prozent des in den letzten drei Geschäftsjahren in der Schweiz erzielten Umsatzes des Unternehmens betragen (vgl. Art. 7 SVKG ; Art. 49a Abs. 1 Satz 1 KG ).</w:t>
      </w:r>
    </w:p>
    <w:p>
      <w:r>
        <w:rPr>
          <w:b/>
        </w:rPr>
        <w:t>E. 8.3</w:t>
      </w:r>
    </w:p>
    <w:p>
      <w:r>
        <w:t>Der für die Sanktionsberechnung heranzuziehende massgebliche Umsatz (auf den fünf relevanten Strecken) von Fr. xxx ist unbestritten und kann ohne Weiteres der Sanktionsberechnung zugrunde gelegt werden.</w:t>
      </w:r>
    </w:p>
    <w:p>
      <w:r>
        <w:rPr>
          <w:b/>
        </w:rPr>
        <w:t>E. 8.3.1</w:t>
      </w:r>
    </w:p>
    <w:p>
      <w:r>
        <w:t>Nach Art. 49a Abs. 1 KG wird der Sanktionsbetrag unter anderem nach der Schwere des unzulässigen Verhaltens bestimmt. Art. 3 SVKG hält konkretisierend fest, dass der Basisbetrag nach der Schwere und der Art des Verstosses gebildet wird. Unter Schwere ist die objektive, d. h. verschuldensunabhängige Schwere zu verstehen. Massgebend ist das abstrakte Gefährdungspotenzial. Zu berücksichtigen sind zudem der Grad der Beeinträchtigung des Wettbewerbs, die Wirksamkeit des Verstosses sowie die Anzahl der beteiligten Personen (vgl. BGE 146 II 217 E. 9.2.3.2; 144 II 194 E. 6.4; Urteil 2C_561/2022 vom 23. April 2024 E. 13.4.4). Nach Ansicht der Beschwerdeführerin ist der Prozentsatz des Basisbetrags von 6 % - unbesehen der bereits vorgenommenen Reduktion durch die Vorinstanz - nach wie vor unverhältnismässig hoch und deshalb zu reduzieren. Ihr ist nicht zu folgen: Die Beschwerdeführerin war nach dem Dargelegten entgegen ihrer Ansicht auch an der Abrede über die Nicht-Kommissionierung von Zuschlägen beteiligt (vgl. E. 7 hiervor). Zudem berücksichtigt die Vorinstanz zugunsten der Beschwerdeführerin bereits hinreichend, dass der Preiswettbewerb nur mit Bezug auf einen untergeordneten Teil des Frachtpreises - d. h. die Summe aller Preiselemente, wie Frachtraten und Einzelzuschläge - beeinträchtigt war. Vor diesem Hintergrund erweist sich die von der Vorinstanz vorgenommene Reduktion des Prozentsatzes von 8 % auf 6 % jedenfalls als bundesrechtskonform. Eine weitergehende Reduktion drängt sich entgegen der Auffassung der Beschwerdeführerin nicht auf.</w:t>
      </w:r>
    </w:p>
    <w:p>
      <w:r>
        <w:rPr>
          <w:b/>
        </w:rPr>
        <w:t>E. 8.3.2</w:t>
      </w:r>
    </w:p>
    <w:p>
      <w:r>
        <w:t>Mit Blick auf die Erhöhung des Basisbetrages um yyy % wegen der ermittelten Dauer des Verstosses macht die Beschwerdeführerin zu Recht keine Verletzung von Bundesrecht geltend (vgl. Art. 4 SVKG ; E. 15.2.4 des angefochtenen Urteils). Die sanktionsrelevante Dauer betrifft immerhin den Zeitraum zwischen dem 1. April 2004 bis Februar 2006. Gleich verhält es sich mit der vorinstanzlichen Würdigung, wonach die Teilnahme der Beschwerdeführerin an zwei Abreden als erschwerender Umstand gelte, weshalb die Erhöhung des Sanktionsbetrags um yyy % nicht zu beanstanden sei (vgl. Art. 5 SVKG ; E. 14.2.5 des angefochtenen Urteils). Der Umstand, dass zwei unabhängige Elemente des Preises abgesprochen wurden, kann ohne Weiteres als erschwerender Umstand betrachtet werden (vgl. Urteil 2C_64/2023 vom 26. November 2024 E. 11.3.3). Entgegen der Auffassung der Beschwerdeführerin ist darin keine Verletzung des Doppelverwertungsverbots zu erkennen. Mildernde Umstände liegen ausserdem nicht vor. Die in diesem Zusammenhang vorgetragene Rüge der Verletzung des Gleichbehandlungsgebots nach Art. 8 BV scheitert daran, dass das andere, von der Beschwerdeführerin angeführte Luftfahrtunternehmen im Gegensatz zur Beschwerdeführerin effektiv nur an einer Wettbewerbsabrede beteiligt gewesen ist. Inwiefern die Vorinstanz bei der Beurteilung der mildernden Umstände den Anspruch auf rechtliches Gehör verletzt hat, legt die Beschwerdeführerin im Übrigen nicht hinreichend dar (vgl. Art. 106 Abs. 2 BGG ).</w:t>
      </w:r>
    </w:p>
    <w:p>
      <w:r>
        <w:rPr>
          <w:b/>
        </w:rPr>
        <w:t>E. 8.4</w:t>
      </w:r>
    </w:p>
    <w:p>
      <w:r>
        <w:t>Die Sanktionsreduktion im Umfang von 50 % wegen der Selbstanzeige der Beschwerdeführerin ist bereits im vorinstanzlichen Verfahren zu Recht nicht umstritten gewesen (vgl. 15.2.6 des angefochtenen Urteils; vgl. Bst. A i.f. hiervor). Nach dem Dargelegten ist die vorinstanzliche Sanktionsbemessung und -berechnung nicht zu beanstanden. Der korrekt errechnete Sanktionsbetrag von Fr. 451'759.-- ist, wie sogleich zu zeigen sein wird, dennoch zu reduzieren.</w:t>
      </w:r>
    </w:p>
    <w:p>
      <w:r>
        <w:rPr>
          <w:b/>
        </w:rPr>
        <w:t>E. 9</w:t>
      </w:r>
    </w:p>
    <w:p>
      <w:r>
        <w:t>Die Beschwerdeführerin rügt eine Verletzung des Beschleunigungsgebots gemäss Art. 29 Abs. 1 BV und Art. 6 Ziff. 1 EMRK .</w:t>
      </w:r>
    </w:p>
    <w:p>
      <w:r>
        <w:rPr>
          <w:b/>
        </w:rPr>
        <w:t>E. 9.1</w:t>
      </w:r>
    </w:p>
    <w:p>
      <w:r>
        <w:t>Die Beschwerdeführerin macht geltend, die Vorinstanz habe eine Verletzung des Beschleunigungsgebots geprüft und im Ergebnis verneint. Dies sei bundesrechtswidrig. Die vorliegende Angelegenheit sei kein besonders komplexer Fall, auch wenn der Umfang der Verfügung vom 2. Dezember 2013 etwas anderes suggeriere. Vielmehr habe die WEKO selbst erst sechs Jahre nach Eröffnung des Untersuchungsverfahrens realisiert, dass betreffend die Beschwerdeführerin nur fünf Flugstrecken von Relevanz seien. Dieses Versäumnis sei der WEKO anzulasten. Ausserdem sei inzwischen auch die Dauer des Beschwerdeverfahrens beim Bundesverwaltungsgericht zu berücksichtigen. Der Schriftenwechsel sei im Herbst 2014 abgeschlossen gewesen. Zwischen dem 8. Oktober 2014 und der Fällung des Urteils am 16. November 2022 seien keine Verfahrenshandlungen mehr erfolgt. Somit habe das bundesverwaltungsgerichtliche Beschwerdeverfahren länger gedauert als das Untersuchungsverfahren der WEKO. Die Verfahrensdauer sei unzumutbar und die Sanktion entsprechend zu reduzieren.</w:t>
      </w:r>
    </w:p>
    <w:p>
      <w:r>
        <w:rPr>
          <w:b/>
        </w:rPr>
        <w:t>E. 9.2</w:t>
      </w:r>
    </w:p>
    <w:p>
      <w:r>
        <w:t>Als Minimalanforderung an ein rechtsstaatliches Verfahren gewährleisten Art. 29 Abs. 1 BV sowie Art. 6 Ziff. 1 EMRK den Erlass eines Entscheids innerhalb einer angemessenen Frist (zur Anwendbarkeit von Art. 6 Ziff. 1 EMRK in der vorliegenden Angelegenheit siehe E. 5.5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 130 I 312 E. 5.1). Für die rechtssuchende Person ist es unerheblich, auf welche Gründe eine übermässige Verfahrensdauer zurückzuführen ist. Mangelnde Organisation oder Überlastung bewahren nicht vor dem Vorwurf der Rechtsverzögerung (vgl.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125 V 188 E. 2a).</w:t>
      </w:r>
    </w:p>
    <w:p>
      <w:r>
        <w:rPr>
          <w:b/>
        </w:rPr>
        <w:t>E. 9.3</w:t>
      </w:r>
    </w:p>
    <w:p>
      <w:r>
        <w:t>Am 13. Februar 2006 hat das Sekretariat eine Untersuchung zu Abreden über Zuschläge im Bereich Luftfracht (Untersuchung 81.21-0014)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15.2.2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bzw.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 f.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w:t>
      </w:r>
    </w:p>
    <w:p>
      <w:r>
        <w:rPr>
          <w:b/>
        </w:rPr>
        <w:t>E. 9.4</w:t>
      </w:r>
    </w:p>
    <w:p>
      <w:r>
        <w:t>Anders verhält es sich mit Blick auf das über acht Jahre dauernde vorinstanzliche Beschwerdeverfahren.</w:t>
      </w:r>
    </w:p>
    <w:p>
      <w:r>
        <w:rPr>
          <w:b/>
        </w:rPr>
        <w:t>E. 9.4.1</w:t>
      </w:r>
    </w:p>
    <w:p>
      <w:r>
        <w:t>Gegen die Verfügung der WEKO vom 2. Dezember 2013 reichte die Beschwerdeführerin am 10. Februar 2014 Beschwerde bei der Vorinstanz ein. Wie sich aus dem angefochtenen Urteil ergibt, war der vorinstanzliche Schriftenwechsel mit der Einreichung der Duplik am 2. Oktober 2014 abgeschlossen (vgl. Bst. F des angefochtenen Urteils). Daraufhin dauerte es über acht Jahre bis die Vorinstanz das Urteil vom 16. November 2022 fällte (vgl. Bst. B.b hiervor). In diesem Zeitraum nahm die Vorinstanz keine erkennbaren Verfahrenshandlungen vor. Die Vorinstanz verzichtet im Rahmen des bundesgerichtlichen Verfahrens auf eine Vernehmlassung und äussert sich nicht zur Verfahrensdauer. Demgegenüber hält sie bereits im Rahmen des angefochtenen Urteils der Beschwerdeführerin entgegen, diese habe sie nicht zu einer raschen Behandlung der Angelegenheit aufgefordert oder eine Rechtsverweigerung geltend gemacht. Das passive Verhalten der Beschwerdeführerin stehe somit einem Erlass oder einer Reduktion der Sanktion entgegen (vgl. E. 15.2.2 S. 139 des angefochtenen Urteils).</w:t>
      </w:r>
    </w:p>
    <w:p>
      <w:r>
        <w:rPr>
          <w:b/>
        </w:rPr>
        <w:t>E. 9.4.2</w:t>
      </w:r>
    </w:p>
    <w:p>
      <w:r>
        <w:t>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w:t>
      </w:r>
    </w:p>
    <w:p>
      <w:r>
        <w:t>WEKO nicht kritisiert, sondern lediglich die Dauer des Beschwerdeverfahrens beanstandet hat ("Se plaignant uniquement de la durée de la procédure devant le Tribunal administratif fédéral, [...]"). Demgegenüber haben vorliegend diverse Untersuchungsadressaten, so auch die Beschwerdeführerin, bereits in den zeitgleich eingereichten Beschwerden gegen die Verfügung der WEKO vom 2. Dezember 2013 eine Verletzung des Beschleunigungsgebots ausdrücklich gerügt und bei der Vorinstanz geltend gemacht, dass die Untersuchungsdauer von rund acht Jahren unzulässig lange gewesen sei (vgl. E. 15.2.2 S. 134 und S. 137 f. des angefochtenen Urteils; Urteile des BVGer</w:t>
      </w:r>
    </w:p>
    <w:p>
      <w:r>
        <w:t>B-761/2014 vom 16. November 2022 E. 13.2.2; B-786/2014 vom 16. November 2022 E. 14.2.2; B-787/2014 vom 16. November 2022 E. 14.2.2). Ausserdem hat sich die Beschwerdeführerin am 11. Juli 2016 (act. 25), am 13. Juni 2017 (act. 27) und am 28. März 2018 (act. 28) bei der Vorinstanz nach dem Verfahrensstand erkundigt. Vor diesem Hintergrund ist die vorinstanzliche Auffassung, wonach die Beschwerdeführerin nicht um eine rasche Behandlung der Angelegenheit ersucht habe und sie die Vorinstanz ausdrücklich darauf hätte hinweisen müssen, die Verfahrensdauer unter acht Jahren zu halten, nicht nur unzutreffend, sondern auch sachfremd (vgl. auch Urteil 2C_64/2023 vom 26. November 2024 E. 12.4.2, zur Publikation vorgesehen).</w:t>
      </w:r>
    </w:p>
    <w:p>
      <w:r>
        <w:rPr>
          <w:b/>
        </w:rPr>
        <w:t>E. 9.4.3</w:t>
      </w:r>
    </w:p>
    <w:p>
      <w:r>
        <w:t>Im Übrigen ist der Beschwerdeführerin nicht vorzuwerfen, dass sie durch ihr eigenes Verhalten zu einer aufwändigen und äusserst zeitintensiven Bearbeitung beitrug (vgl. Urteil 2C_596/2019 vom 2. November 2022 E. 11.3 i.f.). Auch der Hinweis der Vorinstanz, die WEKO habe sich in Sachverhaltsschilderungen verloren, bei denen die fraglichen Geschehnisse vor dem für die Sanktionierung massgeblichen Zeitraum liege (vgl. E. 3 hiervor),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5.2 und E. 5.3.3 i.f. hiervor). Eine solche Unzulässigkeitsfeststellung wäre namentlich zur Diskussion gestanden, wenn sie nicht auf die Sanktionsbestimmung von Art. 49a Abs. 1 KG hätte zurückgreifen dürfen (vgl. auch Urteil 2C_62/2023 vom 24. Juli 2024 E. 3.6).</w:t>
      </w:r>
    </w:p>
    <w:p>
      <w:r>
        <w:rPr>
          <w:b/>
        </w:rPr>
        <w:t>E. 9.5</w:t>
      </w:r>
    </w:p>
    <w:p>
      <w:r>
        <w:t>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Kürzung der Sanktion im Umfang von 25 % (2/8) vorzunehmen (vgl. Urteil 2C_64/2023 vom 26. November 2024 E. 12.5, zur Publikation vorgesehen). Der von der Vorinstanz korrekt errechnete Sanktionsbetrag von Fr. 451'759.-- ist somit auf Fr. 338'819.-- zu reduzieren.</w:t>
      </w:r>
    </w:p>
    <w:p>
      <w:r>
        <w:t>XXV. Ergebnis &amp; Kosten</w:t>
      </w:r>
    </w:p>
    <w:p>
      <w:r>
        <w:rPr>
          <w:b/>
        </w:rPr>
        <w:t>E. 10</w:t>
      </w:r>
    </w:p>
    <w:p>
      <w:r>
        <w:t>Im Ergebnis erweist sich die Beschwerde mit Blick auf die Verletzung des Beschleunigungsgebots begründet, weshalb sie teilweise gutzuheissen ist. Die Dispositiv-Ziffern 1.2, 2 und 3 des angefochtenen Urteils sind aufzuheben und die Dispositiv-Ziffer 2 der Verfügung der WEKO vom 2. Dezember 2013 ist mit Bezug auf die der Beschwerdeführerin aufzuerlegende Sanktion von Fr. 338'819.-- entsprechend neu zu fassen. Im Übrigen ist die Beschwerde abzuweisen. Die Angelegenheit ist zur Neuverlegung der Kosten- und Entschädigungsfolgen des vorinstanzlichen Verfahrens an die Vorinstanz zurückzuweisen ( Art. 67 BGG ).</w:t>
      </w:r>
    </w:p>
    <w:p>
      <w:r>
        <w:t>Bei diesem Verfahrensausgang trägt die Beschwerdeführerin die um 25 % reduzierten Gerichtskosten ( Art. 66 Abs. 1 BGG ). Der WEKO sind keine Gerichtskosten aufzuerlegen ( Art. 66 Abs. 4 BGG ; vgl. Urteil 2C_698/2021 vom 5. März 2024 E. 12.3). Die WEKO hat der Beschwerdeführerin im Umfang des (teilweisen) Obsiegens für das bundesgerichtliche Verfahren eine Parteientschädigung auszurichten ( Art. 68 Abs. 1 BGG ). Der WEKO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