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2C_65/2010 vom 19. Mai 2010</w:t>
      </w:r>
    </w:p>
    <w:p>
      <w:r>
        <w:t>Bundesgericht, 2010-05-19, FR</w:t>
      </w:r>
    </w:p>
    <w:p>
      <w:r>
        <w:rPr>
          <w:b/>
        </w:rPr>
        <w:t xml:space="preserve">Quelle: </w:t>
      </w:r>
      <w:r>
        <w:t>https://mcp.opencaselaw.ch/entscheid/bger_2C_65_2010</w:t>
      </w:r>
    </w:p>
    <w:p>
      <w:r>
        <w:t>FR: TF 2C_65/2010 du 19 mai 2010</w:t>
      </w:r>
    </w:p>
    <w:p>
      <w:r>
        <w:t>IT: TF 2C_65/2010 del 19 maggio 2010</w:t>
      </w:r>
    </w:p>
    <w:p>
      <w:pPr>
        <w:pStyle w:val="Heading2"/>
      </w:pPr>
      <w:r>
        <w:t>Erwägungen</w:t>
      </w:r>
    </w:p>
    <w:p>
      <w:r>
        <w:rPr>
          <w:b/>
        </w:rPr>
        <w:t>E. 1</w:t>
      </w:r>
    </w:p>
    <w:p>
      <w:r>
        <w:t>La loi sur les étrangers est entrée en vigueur le 1er janvier 2008. En vertu de l'art. 126 al. 1 LEtr, les demandes déposées avant cette date sont régies par l'ancien droit. Le début de la procédure de révocation de l'autorisation de séjour du recourant remonte à la fin de l'année 2008, soit au moment où le Service de la population a diligenté une enquête de police à la suite de la dénonciation de B.X.________ du 25 novembre 2008. La présente cause est par conséquent régie par la loi sur les étrangers.</w:t>
      </w:r>
    </w:p>
    <w:p>
      <w:r>
        <w:rPr>
          <w:b/>
        </w:rPr>
        <w:t>E. 2.1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En vertu de l'art. 42 al. 1 LEtr, le conjoint d'un ressortissant suisse a en principe droit à l'octroi d'une autorisation de séjour et à la prolongation de sa durée de validité. En l'occurrence, le recourant est toujours marié à une Suissesse. Par conséquent, la voie du recours en matière de droit public est ouverte. La question de savoir si les époux font ménage commun au sens de cette disposition et, dans la négative, s'il y a lieu de renoncer à cette exigence en vertu de l'art. 49 LEtr ainsi que le point de savoir si les conditions de l'art. 50 LEtr sont réalisées relèvent du fond et non de la recevabilité (cf. arrêts 2C_618/2009 du 27 janvier 2010 consid. 2.2, 2C_388/2009 du 9 décembre 2009 consid. 1).</w:t>
      </w:r>
    </w:p>
    <w:p>
      <w:r>
        <w:rPr>
          <w:b/>
        </w:rPr>
        <w:t>E. 2.2</w:t>
      </w:r>
    </w:p>
    <w:p>
      <w:r>
        <w:t>Au surplus, dirigé contre un arrêt rendu en dernière instance cantonale par un tribunal supérieur (cf. art. 86 al. 1 let . d et al. 2 LTF), le recours a été déposé en temps utile (cf. art. 100 al. 1 LTF ) et dans les formes prescrites (cf. art. 42 LTF ) par le destinataire de l'acte attaqué qui a un intérêt digne de protection à son annulation ou à sa modification (cf. art. 89 al. 1 LTF ).</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Le recours ne peut critiquer les constatations de fait que si les faits ont été établis de façon manifestement inexacte, autrement dit arbitraire, ou en violation du droit au sens de l' art. 95 LTF , et si la correction du vice est susceptible d'influer sur le sort de la cause ( art. 97 al. 1 LTF ). Enfin, aucun fait nouveau ni preuve nouvelle ne peut être présenté à moins de résulter de la décision de l'autorité précédente ( art. 99 al. 1 LTF ).</w:t>
      </w:r>
    </w:p>
    <w:p>
      <w:r>
        <w:rPr>
          <w:b/>
        </w:rPr>
        <w:t>E. 4.1</w:t>
      </w:r>
    </w:p>
    <w:p>
      <w:r>
        <w:t>Selon l'art. 50 al. 1 LEtr, après la dissolution de la famille, le droit du conjoint à l'octroi d'une autorisation de séjour et à la prolongation de sa durée de validité en vertu notamment de l'art. 42 LEtr subsiste lorsque l'union conjugale a duré au moins trois ans et que l'intégration est réussie (let. a) ou lorsque la poursuite du séjour en Suisse s'impose pour des raisons personnelles majeures (let. b). D'après l'alinéa 2, les raisons personnelles majeures au sens de l'alinéa 1 let. b sont notamment données lorsque le conjoint est victime de violence conjugale et que la réintégration sociale dans le pays de provenance semble fortement compromise.</w:t>
      </w:r>
    </w:p>
    <w:p>
      <w:r>
        <w:t>Selon la jurisprudence ( ATF 136 II 1 consid. 5.3 p. 4),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(cf. arrêt 2C_216/2009 du 20 août 2009 consid. 2.1). La violence conjugale ou la réintégration fortement compromise dans le pays d'origine peuvent revêtir une importance et un poids différents dans cette appréciation et suffire isolément à admettre l'existence de raisons personnelles majeures.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De même, la réintégration dans le pays d'origine ne constitue une raison personnelle majeure que lorsqu'elle semble fortement compromise.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bien là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 ATF 136 II 1 consid. 5.3 p. 4).</w:t>
      </w:r>
    </w:p>
    <w:p>
      <w:r>
        <w:rPr>
          <w:b/>
        </w:rPr>
        <w:t>E. 4.2</w:t>
      </w:r>
    </w:p>
    <w:p>
      <w:r>
        <w:t>En l'espèce, le recourant discute librement des faits de la cause, comme il le ferait devant une cour d'appel, ce qui rend son recours très largement irrecevable. Il n'explique notamment pas en quoi le Tribunal cantonal aurait apprécié les faits de manière arbitraire en estimant que les condamnations pénales dont l'épouse a fait l'objet ne permettent nullement d'établir l'existence de violences conjugales. Il en va de même pour ce qui a trait à l'existence d'un enfant adultérin conçu après la séparation et avec lequel il n'entretient aucun lien, que ce soit affectif ou économique, en dépit du fait qu'il l'aurait reconnu. Il en va encore ainsi lorsqu'il se plaint de ce que la Cour cantonale n'a pas retenu l'existence de violences conjugales sur la base du certificat établi par un médecin psychiatre qui a attesté que son patient "a présenté des troubles psychiques dans le contexte, selon les dires du patient durant son suivi [...], de violences conjugales". Ce document ne fait en effet que rapporter l'avis du patient et ne permet nullement d'établir la réalité de violences conjugales. En outre, dans la mesure où les troubles psychiques ainsi constatés auraient bel et bien leur source dans un contexte de violences conjugales, qui n'auraient du reste pas été physiques, rien n'indiquerait que ces dernières ont atteint l'importance minimale exigée par la jurisprudence pour ouvrir le droit exceptionnel de l'art. 50 al. 1 let. b LEtr.</w:t>
      </w:r>
    </w:p>
    <w:p>
      <w:r>
        <w:rPr>
          <w:b/>
        </w:rPr>
        <w:t>E. 4.3</w:t>
      </w:r>
    </w:p>
    <w:p>
      <w:r>
        <w:t>Le recourant fait aussi valoir que sa réintégration dans son pays de départ, à savoir le Liban, serait fortement compromise. A l'appui de son grief, il invoque le fait que ses parents ne peuvent accéder à la propriété en raison de leur statut palestinien, qu'ils sont en outre malades et que sa famille ne perçoit aucune assistance des Nations-Unies ni de la République libanaise. De tels arguments ne sont pas en relation avec la situation particulière du recourant, mais bien avec celle de sa famille. Ils ne sauraient en conséquence déboucher sur l'octroi d'une autorisation de séjour en Suisse. Le fait que sa famille vive toujours au Liban plaide au contraire en faveur d'un retour du recourant dans cet Etat. Les arguments relatifs à la portée du document de voyage pour réfugiés palestiniens ne lui sont pas d'un plus grand secours.</w:t>
      </w:r>
    </w:p>
    <w:p>
      <w:r>
        <w:rPr>
          <w:b/>
        </w:rPr>
        <w:t>E. 5</w:t>
      </w:r>
    </w:p>
    <w:p>
      <w:r>
        <w:t>Les considérants qui précèdent conduisent au rejet du recours, dans la mesure où il est recevable. Succombant, le recourant doit supporter un émolument judiciaire ( art. 66 al. 1 1 ère phrase LTF) et n'a pas droit à des dépens (art. 68 al. 1 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