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2C_659/2025 vom 24. November 2025</w:t>
      </w:r>
    </w:p>
    <w:p>
      <w:r>
        <w:t>Bundesgericht, 2025-11-24, DE</w:t>
      </w:r>
    </w:p>
    <w:p>
      <w:r>
        <w:rPr>
          <w:b/>
        </w:rPr>
        <w:t xml:space="preserve">Quelle: </w:t>
      </w:r>
      <w:r>
        <w:t>https://mcp.opencaselaw.ch/entscheid/bger_2C_659_2025</w:t>
      </w:r>
    </w:p>
    <w:p>
      <w:r>
        <w:t>FR: TF 2C_659/2025 du 24 novembre 2025</w:t>
      </w:r>
    </w:p>
    <w:p>
      <w:r>
        <w:t>IT: TF 2C_659/2025 del 24 novembre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2C_470/2025 vom 8. September 2025 E. 1.1.1).</w:t>
      </w:r>
    </w:p>
    <w:p>
      <w:r>
        <w:rPr>
          <w:b/>
        </w:rPr>
        <w:t>E. 1.2</w:t>
      </w:r>
    </w:p>
    <w:p>
      <w:r>
        <w:t>Die Beschwerdeführerin unterbreitet dem Bundesgericht die Frage, ob die Schlussverfügung der ESTV vom 11. Dezember 2023 den formellen Anforderungen gemäss Art. 17 Abs. 1 des Bundesgesetzes vom 28. September 2012 über die internationale Amtshilfe in Steuersachen (Steueramtshilfegesetz, StAhiG; SR 651.1), Art. 35 VwVG (SR 172.021) und Art. 29 Abs. 2 BV genügt, wenn die Übermittlungsunterlagen in der Schlussverfügung weder genau bezeichnet (beispielsweise in Form eines Verzeichnisses) noch dieser beigelegt werden.</w:t>
      </w:r>
    </w:p>
    <w:p>
      <w:r>
        <w:rPr>
          <w:b/>
        </w:rPr>
        <w:t>E. 1.2.1</w:t>
      </w:r>
    </w:p>
    <w:p>
      <w:r>
        <w:t>Vorab ist darauf hinzuweisen, dass sich entgegen der Behauptung der Beschwerdeführerin aus der Schlussverfügung vom 11. Dezember 2023 ohne Weiteres ergibt, welche Unterlagen ("enclosure[s]") der ersuchenden Behörde übermittelt werden sollten (vgl. Art. 105 Abs. 2 BGG ). Die Beschwerdeführerin bringt zwar zutreffend vor, dass sich das Bundesgericht zu den formellen Anforderungen von Art. 17 Abs. 1 StAhiG an die Schlussverfügungen, soweit ersichtlich, nicht ausführlich geäussert hat (vgl. aber BGE 141 II 383 E. 4.1). Sie lässt allerdings ausser Acht, dass sie ihre Rechtsfrage im Kontext allgemeiner verfahrensrechtlicher Garantien - namentlich des verfassungsrechtlichen Begründungsanspruchs - stellt. Es ist daher fraglich, ob die Beschwerdeführerin dem Bundesgericht eine Rechtsfrage von grundsätzlicher Bedeutung (spezifisch) aus dem Bereich der internationalen Amtshilfe in Steuersachen unterbreitet (vgl. Urteile 2C_535/2024 vom 12. November 2024 E. 1.4; 2C_414/2024 vom 12. September 2024 E. 1.4; 2C_765/2021 vom 12. Oktober 2021 E. 3.1).</w:t>
      </w:r>
    </w:p>
    <w:p>
      <w:r>
        <w:rPr>
          <w:b/>
        </w:rPr>
        <w:t>E. 1.2.2</w:t>
      </w:r>
    </w:p>
    <w:p>
      <w:r>
        <w:t>Der Anspruch auf rechtliches Gehör nach Art. 29 Abs. 2 BV räumt der betroffenen Person unter anderem einen Begründungsanspruch ein.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 Schriftliche Verfügungen sind, auch wenn die Behörde sie in Briefform eröffnet, als solche zu bezeichnen, zu begründen und mit einer Rechtsmittelbelehrung zu versehen (vgl. Art. 35 Abs. 1 VwVG ). Gemäss Art. 17 Abs. 1 StAhiG eröffnet die ESTV jeder beschwerdeberechtigten Person eine Schlussverfügung, in der die Amtshilfeleistung begründet und der Umfang der zu übermittelnden Informationen bestimmt werden.</w:t>
      </w:r>
    </w:p>
    <w:p>
      <w:r>
        <w:rPr>
          <w:b/>
        </w:rPr>
        <w:t>E. 1.2.3</w:t>
      </w:r>
    </w:p>
    <w:p>
      <w:r>
        <w:t>Die im Zusammenhang mit der Rechtsfrage von der Beschwerdeführerin geäusserte Kritik am angefochtenen Urteil richtet sich lediglich gegen die Beurteilung der im vorinstanzlichen Verfahren vorgetragenen Rüge der Verletzung des Anspruchs auf rechtliches Gehör (vgl. E. 2 des angefochtenen Urteils). Die Vorinstanz erwägt, die Beschwerdeführerin habe im Rahmen der vollumfänglich gewährten Akteneinsicht alle sie betreffenden und zur Übermittlung vorgesehenen Dokumente eingesehen. Die Beschwerdeführerin habe sich insbesondere zum Umfang der Amtshilfeleistung geäussert. Die ESTV habe die zur Übermittlung bestimmten Informationen daraufhin hin leicht angepasst. Es habe zu keinem Zeitpunkt Unklarheiten über den Inhalt der zur Übermittlung beabsichtigen Dokumente und Informationen bestanden (vgl. E. 2.4 des angefochtenen Urteils). Letztlich ordnete die ESTV in der Schlussverfügung vom 11. Dezember 2023 die Übermittlung der Informationen und Unterlagen an, so wie sie es in ihrem Schreiben vom 11. September 2023 angekündigt hatte (vgl. Bst. A.b und Bst. B hiervor), wobei sie auf die entsprechenden Unterlagen ("enclosure[s]") hinwies (vgl. Art. 105 Abs. 2 BGG ).</w:t>
      </w:r>
    </w:p>
    <w:p>
      <w:r>
        <w:rPr>
          <w:b/>
        </w:rPr>
        <w:t>E. 1.2.4</w:t>
      </w:r>
    </w:p>
    <w:p>
      <w:r>
        <w:t>Aus dem Dargelegten ergibt sich, dass sich die aufgeworfene Rechtsfrage unter Anwendung der allgemeinen verfahrensrechtlichen Garantien im Zusammenhang mit dem in der Verfassung und den Gesetzen verankerten Begründungsanspruch klären lässt (vgl. Art. 29 Abs. 2 BV ; vgl. auch Art. 35 Abs. 1 VwVG ; Art. 17 Abs. 1 StAhiG ). Es fehlt der Frage an der grundsätzlichen Bedeutung im Sinne von Art. 84a BGG .</w:t>
      </w:r>
    </w:p>
    <w:p>
      <w:r>
        <w:rPr>
          <w:b/>
        </w:rPr>
        <w:t>E. 1.3</w:t>
      </w:r>
    </w:p>
    <w:p>
      <w:r>
        <w:t>Die Beschwerdeführerin wirft im Weiteren die Frage auf, ob und in welchem Umfang Amtshilfe zu leisten ist, wenn sich im Rahmen des Amtshilfeverfahrens herausstellt, dass keine "Verbundenheit" und damit keine "controlled transactions" zwischen den im ersuchenden Staat der Verrechnungspreisprüfung unterliegenden ukrainischen Gesellschaften und der schweizerischen Gesellschaft bestehe.</w:t>
      </w:r>
    </w:p>
    <w:p>
      <w:r>
        <w:rPr>
          <w:b/>
        </w:rPr>
        <w:t>E. 1.3.1</w:t>
      </w:r>
    </w:p>
    <w:p>
      <w:r>
        <w:t>Die zweite von der Beschwerdeführerin aufgeworfene Rechtsfrage ist bereits geklärt. Nach der bundesgerichtlichen Rechtsprechung ist das Erfordernis der voraussichtlichen Erheblichkeit erfüllt, wenn im Zeitpunkt der Gesuchstellung eine vernünftige Möglichkeit besteht, dass sich die angefragten Angaben als erheblich erweisen werden. Hingegen spielt es im Grundsatz keine Rolle, wenn sich - einmal beschafft - herausstellt, dass die Informationen nicht relevant sind. Es liegt grundsätzlich nicht am ersuchten Staat, ein Ersuchen oder die Übermittlung von Auskünften zu verweigern, weil er der Ansicht ist, es fehle an der Erheblichkeit der Anfrage oder der dieser zugrunde liegenden Überprüfung. Die ersuchte Behörde hat somit nicht zu entscheiden, ob der im Amtshilfeersuchen dargestellte Sachverhalt gänzlich der Realität entspricht, sondern muss nur überprüfen, ob die ersuchten Informationen einen Bezug zu diesem Sachverhalt haben (vgl. BGE 144 II 206 E. 4.3; 143 II 185 E. 3.3.2; 142 II 161 E. 2.1.1). Die Rolle der Steuerbehörden des ersuchten Staats beschränkt sich im Wesentlichen auf die Prüfung der Plausibilität des Ersuchens (vgl. BGE 142 II 161 E. 2.1.1; vgl. auch Urteile 2C_120/2025 vom 4. März 2025 E. 1.2.1; 2C_761/2022 vom 1. Juli 2024 E. 4.2.1).</w:t>
      </w:r>
    </w:p>
    <w:p>
      <w:r>
        <w:rPr>
          <w:b/>
        </w:rPr>
        <w:t>E. 1.3.2</w:t>
      </w:r>
    </w:p>
    <w:p>
      <w:r>
        <w:t>Die Vorinstanz hat die soeben dargelegte Rechtsprechung auf die vorliegende Angelegenheit angewendet. Sie ist zum Schluss gelangt, dass im Zeitpunkt der Einreichung des Amtshilfeersuchens eine vernünftige Möglichkeit bestanden habe, dass sich die verlangten Informationen als erheblich erweisen würden. Namentlich sei die von der ersuchenden Behörde geäusserte Vermutung, dass es sich bei der Beschwerdeführerin und den ukrainischen Gesellschaften um verbundene Unternehmen handle, angesichts der im Ersuchen gemachten Angaben plausibel. Das Amtshilfeersuchen enthalte keine Widersprüche oder Fehler (vgl. E. 4.3.2 des angefochtenen Urteils).</w:t>
      </w:r>
    </w:p>
    <w:p>
      <w:r>
        <w:rPr>
          <w:b/>
        </w:rPr>
        <w:t>E. 1.3.3</w:t>
      </w:r>
    </w:p>
    <w:p>
      <w:r>
        <w:t>Die von der Beschwerdeführerin geäusserte Kritik, wonach es sich bei ihr und den beiden ukrainischen Gesellschaften nicht um verbundene Unternehmen handle, begründet angesichts der ständigen bundesgerichtlichen Rechtsprechung zur erforderlichen und von der Vorinstanz vorgenommenen Plausibilitätskontrolle keine Rechtsfrage von grundsätzlicher Bedeutung gemäss Art. 84a BGG .</w:t>
      </w:r>
    </w:p>
    <w:p>
      <w:r>
        <w:rPr>
          <w:b/>
        </w:rPr>
        <w:t>E. 1.4</w:t>
      </w:r>
    </w:p>
    <w:p>
      <w:r>
        <w:t>Die Beschwerdeführerin stellt ferner die Frage, ob die Übermittlung von Namen von Drittpersonen, konkret von ihren Gläubigern und Schuldnern in den Jahresrechnungen 2018 und 2019, gemäss Art. 4 Abs. 3 StAHiG vor dem Hintergrund der voraussichtlichen Erheblichkeit zulässig ist.</w:t>
      </w:r>
    </w:p>
    <w:p>
      <w:r>
        <w:rPr>
          <w:b/>
        </w:rPr>
        <w:t>E. 1.4.1</w:t>
      </w:r>
    </w:p>
    <w:p>
      <w:r>
        <w:t>Auch die dritte Rechtsfrage wird in der bundesgerichtlichen Rechtsprechung ausführlich adressiert. Die Übermittlung der Informationen zu Drittpersonen wird in Anwendung von Art. 4 Abs. 3 StAhiG zugelassen, wenn sie mit Blick auf den vom ersuchenden Staat verfolgten Steuerzweck voraussichtlich erheblich und somit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i.f.; 143 II 506 E. 5.2.1; 142 II 161 E. 4.6.1; Urteile 2C_622/2023 vom 15. November 2023 E. 1.3.2; 2C_270/2022 vom 27. September 2023 E. 4.5.2; 2C_703/2020 vom 15. März 2021 E. 4.2.3).</w:t>
      </w:r>
    </w:p>
    <w:p>
      <w:r>
        <w:rPr>
          <w:b/>
        </w:rPr>
        <w:t>E. 1.4.2</w:t>
      </w:r>
    </w:p>
    <w:p>
      <w:r>
        <w:t>Die Vorinstanz erwägt, bei den vom Schwärzungsantrag betroffenen Stellen handle es sich um Namen und Firmen von Personen und Unternehmen, die mit der Beschwerdeführerin in geschäftlichen Beziehungen gestanden seien. Gerade diese Verbindungen könnten für die ersuchende Behörde relevant sein, um den im Amtshilfeersuchen dargestellten Sachverhalt zu überprüfen und das vermutete Konstrukt zur Umgehung der Preiskontrollen im Bereich des Erdgasimports zu verifizieren. Es handelt sich folglich nicht um Namen, die rein zufällig in den edierten Dokumenten erschienen (vgl. E. 4.4.3.2 des angefochtenen Urteils).</w:t>
      </w:r>
    </w:p>
    <w:p>
      <w:r>
        <w:rPr>
          <w:b/>
        </w:rPr>
        <w:t>E. 1.4.3</w:t>
      </w:r>
    </w:p>
    <w:p>
      <w:r>
        <w:t>Im Lichte des Gesagten ergibt sich, dass die von der Beschwerdeführerin aufgeworfene Rechtsfrage die Anwendung der Rechtsprechung zu Art. 4 Abs. 3 StAhiG im vorliegenden Einzelfall betrifft. Mit der blossen Kritik an der vorinstanzlichen Rechtsanwendung gelingt es der Beschwerdeführerin nicht, eine Rechtsfrage von grundsätzlicher Bedeutung im Sinne von Art. 84a BGG darzutun.</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