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655/2021 vom 11. März 2022</w:t>
      </w:r>
    </w:p>
    <w:p>
      <w:r>
        <w:t>Bundesgericht, 2022-03-11, FR</w:t>
      </w:r>
    </w:p>
    <w:p>
      <w:r>
        <w:rPr>
          <w:b/>
        </w:rPr>
        <w:t xml:space="preserve">Quelle: </w:t>
      </w:r>
      <w:r>
        <w:t>https://mcp.opencaselaw.ch/entscheid/bger_2C_655_2021</w:t>
      </w:r>
    </w:p>
    <w:p>
      <w:r>
        <w:t>FR: TF 2C 655/2021 du 11 mars 2022</w:t>
      </w:r>
    </w:p>
    <w:p>
      <w:r>
        <w:t>IT: TF 2C 655/2021 del 11 marzo 2022</w:t>
      </w:r>
    </w:p>
    <w:p>
      <w:pPr>
        <w:pStyle w:val="Heading2"/>
      </w:pPr>
      <w:r>
        <w:t>Regeste</w:t>
      </w:r>
    </w:p>
    <w:p>
      <w:r>
        <w:t>Impôt cantonal et communal et impôt fédéral direct pour la période fiscale 2016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La Commission de recours a rendu une seule décision valant tant pour l'impôt cantonal et communal que pour l'impôt fédéral direct, ce qui est en principe admissible, dès lors qu'il ressort clairement de ladite décision et du recours que le litige porte sur les deux catégories d'impôts (arrêt 2C_60/2020 du 27 avril 2021 consid. 1.3).</w:t>
      </w:r>
    </w:p>
    <w:p>
      <w:r>
        <w:rPr>
          <w:b/>
        </w:rPr>
        <w:t>E. 1.2</w:t>
      </w:r>
    </w:p>
    <w:p>
      <w:r>
        <w:t>La décision attaquée porte sur le montant du revenu imposable des époux contribuables pour l'année fiscale 2016, tant en matière d'impôt cantonal et communal que d'impôt fédéral direct. La cause relève ainsi du droit public ( art. 82 let. a LTF ) et ne tombe pas sous le coup des exceptions de l' art. 83 LTF . La voie du recours en matière de droit public est donc ouverte (cf. également les art. 146 de la loi fédérale du 14 décembre 1990 sur l'impôt fédéral direct [LIFD; RS 642.11] et 73 al. 1 de la loi fédérale du 14 décembre 1990 sur l'harmonisation des impôts directs des cantons et des communes [LHID; RS 642.14]), la décision entreprise étant une décision finale ( art. 90 LTF ) rendue en dernière instance cantonale par une autorité judiciaire supérieure ( art. 86 al. 1 let . d et al. 2 LTF).</w:t>
      </w:r>
    </w:p>
    <w:p>
      <w:r>
        <w:rPr>
          <w:b/>
        </w:rPr>
        <w:t>E. 1.3</w:t>
      </w:r>
    </w:p>
    <w:p>
      <w:r>
        <w:t>Au surplus, déposé en temps utile ( art. 100 al. 1 LTF ), et dans les formes requises ( art. 42 LTF ) par le Service cantonal des contributions, qui a qualité pour recourir en application du droit fédéral (cf. art. 146 LIFD ; art. 73 al. 2 LHID et 89 al. 2 let. d LTF), le présent recours est recevable.</w:t>
      </w:r>
    </w:p>
    <w:p>
      <w:r>
        <w:rPr>
          <w:b/>
        </w:rPr>
        <w:t>E. 2</w:t>
      </w:r>
    </w:p>
    <w:p>
      <w:r>
        <w:t>Le litige porte sur le point de savoir si c'est à bon droit que la Commission de recours a annulé le refus du Service cantonal de soumettre la prestation en capital perçue par la contribuable à l'imposition séparée prévue par l' art. 38 LIFD . L'instance précédente a pris en considération le fait que, le 18 décembre 2014, la contribuable intimée a inscrit son entreprise individuelle au registre du commerce, qu'elle a obtenu en 2015 un certificat d'intermédiaire d'assurances AFA en vue de devenir courtière indépendante, qu'elle s'est inscrite le 25 février 2016 auprès de la FINMA en tant qu'intermédiaire d'assurance, qu'elle s'est affiliée en 2016 à la Caisse de compensation (AVS) en qualité d'indépendante, qu'elle avait conclu une assurance accident et maladie, qu'elle disposait de cartes de visite à son nom et qu'elle avait loué un local commercial à V.________ pour une durée de deux ans dès le 1er janvier 2015, renouvelable. Elle a également retenu que la contribuable avait conclu le 28 juin 2016 une convention de collaboration avec la société C.________ Sàrl à V.________ par laquelle lui était louée une franchise pour représenter la société auprès de sa clientèle, que, pour l'année 2015, un chiffre d'affaires de 6'625 fr. provenant d'un seul client avait été réalisé, mais aucun pour les années 2016 et 2017 et que le compte de pertes et profits ne contenait aucune rubrique relative à des frais de prospection de clientèle (téléphone, frais de déplacement, publicité, carte de visite et frais de repas etc.) usuels en matière de courtage d'assurance. Elle a en outre observé que la contribuable ne travaillait qu'à 40% afin de s'occuper de son fils malade, qu'il n'était pas possible d'exiger une rentabilité immédiate et qu'il était notoire que l'acquisition d'un portefeuille et d'une clientèle dans le domaine des assurances pouvait prendre du temps; la contribuable n'avait du reste exercé, selon l'attestation de la Caisse de compensation du 19 novembre 2018, son activité que sur une courte période, du 1er mars 2016 au 30 septembre 2017, date à laquelle elle avait renoncé en raison du manque de revenu par rapport aux charges. Au vu de l'ensemble de ces éléments et malgré l'absence de frais de prospection, elle a jugé que la contribuable avait effectivement commencé une activité indépendante. Le recourant reproche à l'instance précédente de n'avoir pas précisé sur quelles preuves ou quels indices elle se fondait pour affirmer qu'il est notoire que l'acquisition d'un portefeuille et d'une clientèle dans le domaine des assurances peut prendre du temps. Un tel constat ne reposerait que sur l'intime conviction de cette dernière de sorte qu'elle aurait ce faisant établi de manière arbitraire les faits. La correction du vice conduirait à modifier le sort de la cause. En effet, l'instance précédente aurait de la sorte justifié que la contribuable n'a réalisé aucun chiffre d'affaires ni bénéfice du 1er mars 2016 au 30 septembre 2017. Ajoutant à cela le constat que la contribuable n'a comptabilisé aucun frais de démarchage de clientèle durant la même période, le recourant est d'avis que l'instance précédente a en outre violé le droit fédéral en admettant le début d'une activité lucrative indépendante. Pour la contribuable en revanche, il résulte de la jurisprudence fédérale en la matière qu'il « est dans l'ordre des choses qu'une activité entreprise en vue de tirer un revenu connaisse une période de démarrage au cours de laquelle les charges excèdent les produits ou sont tout juste couvertes par ceux-ci ». Elle aurait en outre suffisamment démontré sa volonté de commencer une activité lucrative au regard des nombreuses démarches administratives entreprises (autorisation FINMA, registre du commerce, location d'un local, assurance maladie professionnelle etc...).</w:t>
      </w:r>
    </w:p>
    <w:p>
      <w:r>
        <w:rPr>
          <w:b/>
        </w:rPr>
        <w:t>E. 3</w:t>
      </w:r>
    </w:p>
    <w:p>
      <w:r>
        <w:t>Le recourant se plaint de l'établissement manifestement inexact des faits. Il soutient que rien ne vient étayer le fait qu'il serait « notoire que l'acquisition d'un portefeuille et d'une clientèle dans le domaine des assurances peut prendre du temps ».</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arrêt 2C_793/2018 du 13 mars 2019 consid. 2).</w:t>
      </w:r>
    </w:p>
    <w:p>
      <w:r>
        <w:rPr>
          <w:b/>
        </w:rPr>
        <w:t>E. 3.2</w:t>
      </w:r>
    </w:p>
    <w:p>
      <w:r>
        <w:t>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143 IV 380 consid. 1.1.1; 135 III 88 consid. 4.1), à l'instar par exemple des indications figurant au registre du commerce des cantons accessibles sur Internet ( ATF 143 IV 380 consid. 1.1.1; 138 II 557 consid. 6.2).</w:t>
      </w:r>
    </w:p>
    <w:p>
      <w:r>
        <w:rPr>
          <w:b/>
        </w:rPr>
        <w:t>E. 3.3</w:t>
      </w:r>
    </w:p>
    <w:p>
      <w:r>
        <w:t>En l'espèce, force est de constater qu'il n'existe aucune publication accessible à chacun pour confirmer l'affirmation de l'instance précédente selon laquelle l'acquisition d'un portefeuille et d'une clientèle dans le domaine des assurances peut prendre du temps. Il n'en demeure pas moins que, selon le cours ordinaires des choses et l'expérience de la vie, le début d'une activité lucrative, fût-elle comme en l'espèce, dans le domaine du courtage en assurances, peut prendre du temps de sorte qu'il est dans l'ordre des choses, comme l'a jugé le Tribunal fédéral d'une manière générale (arrêts 2C_339/2020 du 5 janvier 2021 consid. 7.3.2; 2C_307/2010 du 27 août 2010 consid. 2.2), qu'elle connaisse une période de démarrage au cours de laquelle les charges excèdent les produits ou sont tout juste couvertes par ceux-ci. Il n'y a en principe pas lieu de distinguer les activités lucratives à cet égard. Cela dit, l'instance précédente eût été mieux inspirée, pour exprimer les difficultés qui accompagnent le début d'une activité lucrative indépendante, de faire mention du cours ordinaire des choses ou de l'expérience de la vie. Quoi qu'il en soit, le grief du recourant n'a pas d'influence sur le sort du litige puisqu'il ressort de l'arrêt attaqué que l'intimée, ce qu'elle ne conteste du reste pas, a connu des difficultés lors du début de son activité de courtage en assurance, au point qu'elle n'a réalisé aucun chiffre d'affaires ni bénéfice du 1er mars 2016 au 30 septembre 2017. Il s'ensuit que la véritable question en l'espèce ne porte pas sur un point de fait mais sur celle de savoir si cette absence de chiffre d'affaires et de bénéfice conduit, ou non, à constater que l'intimée n'a finalement entrepris aucune activité lucrative indépendante effective. Il s'agit en réalité d'une question d'appréciation juridique des faits. Le grief est rejeté. I. Impôt fédéral direct</w:t>
      </w:r>
    </w:p>
    <w:p>
      <w:r>
        <w:rPr>
          <w:b/>
        </w:rPr>
        <w:t>E. 4.1</w:t>
      </w:r>
    </w:p>
    <w:p>
      <w:r>
        <w:t>L' art. 22 LIFD règle le traitement fiscal des revenus provenant de la prévoyance. Sont ainsi imposables "tous les revenus provenant [...] d'institutions de prévoyance professionnelle ou fournis selon des formes reconnues de prévoyance individuelle liée, y compris les prestations en capital [...] " ( art. 22 al. 1 LIFD ; cf. arrêt 2C_248/2015 du 2 octobre 2015 consid. 3.1). Dans le cas où les prestations provenant de la prévoyance ( art. 22 LIFD ) sont versées à titre de prestations en capital, l' art. 38 LIFD s'applique. Selon l' art. 38 al. 1 LIFD , ces prestations en capital bénéficient d'une imposition séparée et sont dans tous les cas soumises à un impôt annuel entier. Il s'agit d'une imposition particulièrement privilégiée, l'impôt fédéral étant calculé sur la base de taux représentant le cinquième des barèmes inscrits à l' art. 36 LIFD (cf. art. 38 al. 2 LIFD ). Par ailleurs, les prestations en capital étant imposées séparément des autres éléments du revenu, il en résulte une neutralisation de l'effet progressif de l'impôt (cf. arrêt 2C_248/2015 du 2 octobre 2015 consid. 3.2).</w:t>
      </w:r>
    </w:p>
    <w:p>
      <w:r>
        <w:rPr>
          <w:b/>
        </w:rPr>
        <w:t>E. 4.2</w:t>
      </w:r>
    </w:p>
    <w:p>
      <w:r>
        <w:t>D'après l'art. 5 al. 1 let. b de la loi fédérale du 17 décembre 1993 sur le libre passage dans la prévoyance professionnelle vieillesse, survivants et invalidité (LFLP; RS 831.42), l'assuré peut exiger le paiement en espèces de la prestation de sortie lorsqu'il s'établit à son compte et qu'il n'est plus soumis à la prévoyance professionnelle obligatoire (cf. ATF 139 V 367 consid. 2.2; arrêt 2C_248/2015 du 2 octobre 2015 consid. 5.3). Lorsque les conditions légales autorisant le paiement en espèces sont réalisées, la prestation en capital est imposée séparément et est soumise à l'imposition spéciale prévue par l' art. 38 LIFD (cf. arrêt 2C_204/2016 du 9 décembre 2016 consid. 3.2 [au sujet de l' art. 11 al. 3 LHID , pratiquement identique à l' art. 38 al. 1 LIFD ]; voir aussi arrêt 2C_248/2015 du 2 octobre 2015 consid. 3.3). En revanche, si tel n'est pas le cas, notamment si le contribuable qui a perçu une prestation en capital pour s'établir à son compte n'entreprend finalement aucune activité lucrative indépendante effective, l'objectif de prévoyance n'est pas respecté et l'application de l' art. 38 LIFD est exclue (cf. arrêts 2C_406/2020 du 10 février 2021 consid. 5.2; 2C_248/2015 du 2 octobre 2015 consid. 3.4.1 et 2C_156/2010 du 7 juin 2011 consid. 4; Gladys Laffely Maillard, in Noël/Aubry Girardin [éd.], Commentaire romand - Impôt fédéral direct, 2e éd., 2017, n. 5a ad art. 38 LIFD p. 890). Dans ce cas, le montant perçu est donc soumis à l'imposition ordinaire conformément à l' art. 16 LIFD (cf. arrêt 2C_156/2010 du 7 juin 2011 consid. 4.3 in fine). Selon la jurisprudence, le bénéficiaire peut toutefois restituer la prestation à l'institution de prévoyance et éviter ainsi l'imposition de la prestation en capital au titre du revenu ordinaire (cf. arrêts 2C_406/2020 du 10 février 2021 consid. 5.2; 2C_204/2016 du 9 décembre 2016 consid. 3.5 et 2C_156/2010 du 7 juin 2011 consid. 4.3 in fine; Gladys Laffely Maillard, op. cit., n. 5a ad art. 38 LIFD p. 890).</w:t>
      </w:r>
    </w:p>
    <w:p>
      <w:r>
        <w:rPr>
          <w:b/>
        </w:rPr>
        <w:t>E. 4.3</w:t>
      </w:r>
    </w:p>
    <w:p>
      <w:r>
        <w:t>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Sont notamment des indices démontrant l'existence d'une telle activité: l'emploi de personnel, l'importance des investissements, une clientèle multiple et changeante et l'existence de locaux commerciaux propres. Une activité lucrative indépendante peut être exercée à titre principal ou accessoire et être durable ou temporaire (cf. arrêt 2C_204/2016 du 9 décembre 2016 consid. 3.3 et les références). Pour déterminer si l'on se trouve en présence d'une activité lucrative indépendante, il convient toujours de se fonder sur l'ensemble des circonstances du cas (cf. ATF 138 II 251 consid. 2.4.2). Lors de l'examen de l'existence d'une activité lucrative indépendante ou du début d'une telle activité, les autorités fiscales ne sont pas liées par les conclusions des institutions de prévoyance professionnelle, car celles-ci ne sont investies d'aucun pouvoir décisionnel (cf. arrêts 2C_204/2016 du 9 décembre 2016 consid. 3.3; 2C_248/2015 du 2 octobre 2015 consid. 3.3; 2C_156/2010 du 7 juin 2011 consid. 3.3).</w:t>
      </w:r>
    </w:p>
    <w:p>
      <w:r>
        <w:rPr>
          <w:b/>
        </w:rPr>
        <w:t>E. 5.1</w:t>
      </w:r>
    </w:p>
    <w:p>
      <w:r>
        <w:t>En l'occurrence, il ressort des faits constatés dans la décision attaquée que, le 18 décembre 2014, l'intimée a inscrit son entreprise individuelle au registre du commerce, qu'elle a obtenu en 2015 un certificat d'intermédiaire d'assurances AFA en vue de devenir courtière indépendante, qu'elle s'est inscrite le 25 février 2016 auprès de la FINMA en tant qu'intermédiaire d'assurance, qu'elle s'est affiliée en 2016 à la Caisse de compensation (AVS) en qualité d'indépendante, qu'elle a conclu une assurance accident et maladie, qu'elle disposait de cartes de visite à son nom, qu'elle a loué un local commercial à V.________ pour une durée de deux ans dès le 1er janvier 2015, renouvelable et enfin, qu'elle a conclu le 28 juin 2016 une convention de collaboration avec la société C.________ Sàrl à V.________ par laquelle lui était louée une franchise pour représenter la société auprès de la clientèle. Ces éléments de faits montrent que l'intimée a investi du temps et de l'argent dans une formation ad hoc, qu'elle a effectué des démarches administratives soumises à émoluments, notamment auprès de la caisse de compensation, l'assurance-maladie professionnelle et de la FINMA ainsi qu'organisationnelles, en louant une surface professionnelle. Ces éléments constituent certes des indices reconnaissables par les tiers et le public comme étant l'offre commerciale par l'intimée d'un service d'intermédiaire en assurances. Mais contrairement à ce qu'a jugé l'instance précédente, dans le cas d'espèce, cela ne suffit pas à admettre l'exercice d'une activité lucrative indépendante d'intermédiaire en assurances.</w:t>
      </w:r>
    </w:p>
    <w:p>
      <w:r>
        <w:rPr>
          <w:b/>
        </w:rPr>
        <w:t>E. 5.2</w:t>
      </w:r>
    </w:p>
    <w:p>
      <w:r>
        <w:t>En effet, l'instance précédente a méconnu un élément de poids. S'il est vrai qu'il est dans l'ordre des choses, comme l'a jugé le Tribunal fédéral d'une manière générale, que le début d'une activité lucrative connaisse une période de démarrage au cours de laquelle les charges excèdent les produits ou sont tout juste couvertes par ceux-ci - ce qui suppose que l'activité indépendante génère un chiffre d'affaires même petit - il n'est en revanche pas conforme au cours ordinaire des choses ou de l'expérience de la vie que, même à ses débuts, l'activité lucrative indépendante ne génère absolument aucun chiffre d'affaires. Or, non seulement l'intimée n'a réalisé aucun bénéfice durant la période du 1er mars 2016 au 30 septembre 2017, mais elle n'a généré aucun chiffre d'affaires durant ces 19 mois. Cette absence de chiffre d'affaires ne plaide nullement en faveur de l'intimée, d'autant moins qu'il est établi qu'elle n'a comptabilisé aucune dépense correspondant à des démarches publicitaires ou à des démarches avec des clients potentiels qui auraient pu lui procurer des affaires. A cela s'ajoute encore que l'intimée ne pouvait pas, si elle entendait véritablement démarrer son activité indépendante de courtière, ignorer à quel point des démarches actives d'acquisition de la clientèle sont nécessaires dans ce domaine, puisque son mari est lui-même courtier en assurances. Enfin, le fait qu'une partie des retraits des avoirs de prévoyance effectués par l'intimée a servi à acquérir un immeuble dans le canton de Vaud plutôt que d'être concrètement investie aux fins de soutenir le début de son activité lucrative indépendante constitue un indice supplémentaire qui conduit à considérer, au vu de l'ensemble des circonstances, que celle-ci n'a finalement commencé aucune entreprise indépendante et n'a pas remboursé les avoirs retirés à l'institution de prévoyance. En jugeant que l'intimée a bien commencé une activité indépendante intermédiaire en assurances au moyen du retrait de ses avoirs de prévoyance, l'instance précédente a violé les art. 22 et 38 LIFD . Le recours est admis. II. Droit cantonal et communal</w:t>
      </w:r>
    </w:p>
    <w:p>
      <w:r>
        <w:rPr>
          <w:b/>
        </w:rPr>
        <w:t>E. 6</w:t>
      </w:r>
    </w:p>
    <w:p>
      <w:r>
        <w:t>Les art. 22 et 38 LIFD ont contenu similaire aux art. 7 al. 1 et 11 al. 3 LHID ainsi qu'aux art. 18 al. 1 et 33b de la loi fiscale valaisanne du 10 mars 1976 (LF/VS; RSVS 642.1), dûment harmonisés. Il s'ensuit que le recours doit être admis en tant qu'il concerne l'impôt cantonal et communal pour les même motifs que ceux qui ont été exposés ci-dessus.</w:t>
      </w:r>
    </w:p>
    <w:p>
      <w:r>
        <w:rPr>
          <w:b/>
        </w:rPr>
        <w:t>E. 7</w:t>
      </w:r>
    </w:p>
    <w:p>
      <w:r>
        <w:t>Les considérants qui précédent conduisent à l'admission du recours tant en matière d'impôt fédéral direct qu'en matière d'impôt cantonal et communal. La décision sur réclamation du 3 juillet 2019 du Service cantonal des contributions du canton du Valais est confirmée. Succombant les intimés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