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655/2019 vom 26. Juli 2019</w:t>
      </w:r>
    </w:p>
    <w:p>
      <w:r>
        <w:t>Bundesgericht, 2019-07-26, DE</w:t>
      </w:r>
    </w:p>
    <w:p>
      <w:r>
        <w:rPr>
          <w:b/>
        </w:rPr>
        <w:t xml:space="preserve">Quelle: </w:t>
      </w:r>
      <w:r>
        <w:t>https://mcp.opencaselaw.ch/entscheid/bger_2C_655_2019</w:t>
      </w:r>
    </w:p>
    <w:p>
      <w:r>
        <w:t>FR: TF 2C 655/2019 du 26 juillet 2019</w:t>
      </w:r>
    </w:p>
    <w:p>
      <w:r>
        <w:t>IT: TF 2C 655/2019 del 26 luglio 2019</w:t>
      </w:r>
    </w:p>
    <w:p>
      <w:pPr>
        <w:pStyle w:val="Heading2"/>
      </w:pPr>
      <w:r>
        <w:t>Regeste</w:t>
      </w:r>
    </w:p>
    <w:p>
      <w:r>
        <w:t>Bestätigung Ausschaffungshaft | Bürgerrecht und Ausländerrecht</w:t>
      </w:r>
    </w:p>
    <w:p>
      <w:pPr>
        <w:pStyle w:val="Heading2"/>
      </w:pPr>
      <w:r>
        <w:t>Erwägungen</w:t>
      </w:r>
    </w:p>
    <w:p>
      <w:r>
        <w:rPr>
          <w:b/>
        </w:rPr>
        <w:t>E. 1.1</w:t>
      </w:r>
    </w:p>
    <w:p>
      <w:r>
        <w:t>Die fristgerecht ( Art. 100 Abs. 1 BGG ) eingereichte Eingabe richtet sich gegen ein kantonal letztinstanzliches ( Art. 86 Abs. 1 lit. d BGG ) Endurteil ( Art. 90 BGG ) eines oberen Gerichts ( Art. 86 Abs. 2 BGG ), mit dem die Ausschaffungshaft des Beschwerdeführers bestätigt wurde. Die Beschwerde in öffentlich-rechtlichen Angelegenheiten, die nicht unter den Ausschlussgrund von Art. 83 lit. c Ziff. 4 BGG fällt ( BGE 142 I 135 E. 1.1.3 S. 139 f., mit Hinweisen), ist zulässig. Der Beschwerdeführer, der am vorinstanzlichen Verfahren teilgenommen hat und mit seinen Anträgen unterlegen ist, ist zur Beschwerde berechtigt ( Art. 89 Abs. 1 BGG ). Die Eingabe, mit welcher sich der Beschwerdeführer in einer Amtssprache gegen seine Inhaftierung wendet und sinngemäss seine Entlassung zwecks Rückkehr nach Frankreich beantragt ( Art. 42 Abs. 1 BGG ), ist als Beschwerde in öffentlich-rechtlichen Angelegenheiten entgegen zu nehmen und darauf ist einzutreten.</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142 I 135 E. 1.5 S. 144; 139 II 404 E. 3 S. 415).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Art. 105 Abs. 2 BGG ; BGE 142 I 135 E. 1.5 S. 145 f.; 140 III 16 E. 1.3.1 S. 17 f.).</w:t>
      </w:r>
    </w:p>
    <w:p>
      <w:r>
        <w:rPr>
          <w:b/>
        </w:rPr>
        <w:t>E. 2.1</w:t>
      </w:r>
    </w:p>
    <w:p>
      <w:r>
        <w:t>Die für den Vollzug der Weg- oder Ausweisung zuständige Behörde kann nach Art. 76 Abs. 1 AIG , wenn ein erstinstanzlicher Weg- oder Ausweisungsentscheid eröffnet oder eine erstinstanzliche strafrechtliche Landesverweisung (vgl. Art. 66a f. StGB [SR 311.0]) ausgesprochen wurde, zur Sicherstellung des Vollzugs die Ausschaffungshaft anordnen, sofern ein Haftgrund ( Art. 76 Abs. 2 lit. b AIG ) vorliegt. Die Vorinstanz stützte die Inhaftierung des Beschwerdeführers auf Art. 76 Abs. 1 lit. b Ziff. 1 AIG in Verbindung mit Art. 75 Abs. 1 lit. c AIG , wonach ein Haftgrund vorliegt, wenn trotz Einreiseverbot das Gebiet der Schweiz betreten wird und die ausländische Person nicht sofort weggewiesen werden kann. Diesen Haftgrund habe der Beschwerdeführer, der mit einem unbefristeten Einreiseverbot belegt sei, bei seiner dagegen verstossenden Einreise ohne gültige Reisepapiere erfüllt.</w:t>
      </w:r>
    </w:p>
    <w:p>
      <w:r>
        <w:rPr>
          <w:b/>
        </w:rPr>
        <w:t>E. 2.2</w:t>
      </w:r>
    </w:p>
    <w:p>
      <w:r>
        <w:t>Im Zuge der Weiterentwicklung des Schengen-Besitzstandes wurde Art. 67 AIG am 18. Juni 2010 geändert (AS 2010 5925; in Kraft seit 1. Januar 2011) (JÖRGER ANDREAS/PATRICK SUTTER, Einreiseverbot nach Art. 67 AuG: Konkretisierungen auf dem Weg zu einer verhältnismässigen Praxis, in: Sicherheit und Recht 2/2013, S. 82, unter Verweis auf die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Nach Art. 67 Abs. 2 lit. a AIG kann ein Einreiseverbot verfügt werden gegenüber Ausländern,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 Art. 67 Abs. 3 AIG ). Liegt eine Gefahr für die öffentliche Sicherheit und Ordnung im Sinne von Art. 67 Abs. 3 Satz 2 AIG vor, ist ein Einreiseverbot für eine Dauer von mehr als fünf Jahren zulässig, unabhängig davon, ob sich der Betroffene auf Art. 5 Anhang I des Abkommens vom 21. Juni 1999 zwischen der Schweizerischen Eidgenossenschaft einerseits und der Europäischen Gemeinschaft und ihren Mitgliedstaaten andererseits über die Freizügigkeit (FZA; SR 0.142.112.681) berufen kann oder nicht ( BGE 139 II 121 E. 6.2 S. 129 f.; Urteile 2C_365/2018 vom 1. April 2019 E. 5.1.1; 2C_270/2015 vom 6. August 2015 E. 4.1; MARC SPESCHA/ANTONIA KERLAND/PETER BOLZLI, Handbuch zum Migrationsrecht, 3. Aufl. 2015, S. 303 f.).</w:t>
      </w:r>
    </w:p>
    <w:p>
      <w:r>
        <w:rPr>
          <w:b/>
        </w:rPr>
        <w:t>E. 2.3</w:t>
      </w:r>
    </w:p>
    <w:p>
      <w:r>
        <w:t>Aus der Begründung, welche der Verfügung des IMES vom 1. September 2003 zu Grunde liegt, geht hervor, dass das Verhalten des Beschwerdeführers zu Klagen Anlass gegeben hatte (strafrechtliche Verurteilungen in der Schweiz und im Ausland), weshalb er aus polizeipräventiven Gründen als unerwünschter Ausländer mit einem sofortig gültigen, unbefristeten Einreiseverbot belegt wurde.</w:t>
      </w:r>
    </w:p>
    <w:p>
      <w:r>
        <w:rPr>
          <w:b/>
        </w:rPr>
        <w:t>E. 2.3.1</w:t>
      </w:r>
    </w:p>
    <w:p>
      <w:r>
        <w:t>Nach der bei der Auslegung von Art. 67 Abs. 3 AIG , welcher den Inhalt von Art. 11 Abs. 2 der Richtlinie 2008/115/EG des Europäischen Parlaments und des Rates vom 16. Dezember 2008 über gemeinsame Normen und Verfahren in den Mitgliedstaaten zur Rückführung illegal aufhältiger Drittstaatsangehöriger (ABl. L 348 vom 24. Dezember 2008 S. 98 ff.) übernommen hat, zu berücksichtigenden Rechtsprechung des Europäischen Gerichtshofes (EuGH) ( BGE 139 II 121 E. 6.2 S. 130; HANSJÖRG SEILER, Einfluss des europäischen Rechts und der europäischen Rechtsprechung auf die schweizerische Rechtspflege, ZBJV 150/2014 S. 298), beurteilt sich die Aufrechterhaltung der Wirkung von vor Inkrafttreten dieser Richtlinie ausgesprochenen Einreiseverboten ab dem Zeitpunkt, in dem der Betroffene das Territorium tatsächlich verlassen hat, und unter Einbezug des vor Inkrafttreten der Richtlinie abgelaufenen Zeitraums (Urteile EuGH C-225/16 vom 26. Juli 2017 [ Ouhrami ], N. 33 ff., C-297/12 vom 19. September 2013 [ Filev und Osmani ], N. 40 ff.). Art. 67 Abs. 3 AIG verbietet somit, die Wirkung unbefristeter Einreiseverbote, die vor dem Inkrafttreten der Richtlinie verhängt wurden, über die (ab dem Zeitpunkt des Verlassens des Territoriums einsetzende) Höchstdauer des Verbots von fünf Jahren aufrechtzuerhalten, es sei denn, diese Verbote wurden gegen Drittstaatsangehörige ausgesprochen, die eine schwerwiegende Gefahr für die öffentliche Ordnung, die öffentliche oder die nationale Sicherheit darstellen (zit. Urteil Filev und Osmani , N. 40 ff.; zit. Urteil Ouhrami , N. 58). Ob eine solche Gefährdung vorliegt, beurteilt sich jeweils anhand des Einzelfalles, wobei insbesondere Gefährdungen besonders hochwertiger Rechtsgüter (Leben, körperliche oder sexuelle Integrität, Gesundheit), vorangegangene terroristische Akte, Verbrechen gegen die Menschlichkeit oder organisierte Kriminalität ein Überschreiten der Regelhöchstdauer von fünf Jahren zu rechtfertigen vermögen ( BGE 139 II 121 E. 6.3 S. 130 f.; Urteile 2C_832/2015 vom 22. Dezember 2015 E. 5 f.; 2C_270/2015 vom 6. August 2015 E. 7; 2C_387/2017 vom 29. Mai 2018 E. 6; SPESCHA/KERLAND/BOLZLI, a.a.O., S. 304).</w:t>
      </w:r>
    </w:p>
    <w:p>
      <w:r>
        <w:rPr>
          <w:b/>
        </w:rPr>
        <w:t>E. 2.3.2</w:t>
      </w:r>
    </w:p>
    <w:p>
      <w:r>
        <w:t>Dem Auszug aus dem Schweizerischen Strafregister lässt sich entnehmen, dass der Beschwerdeführer mit Urteil des Tribunal pénal de la Sarine et Ministère public vom 11. Juni 2003 wegen Betrugs, Urkundenfälschung und Erschleichens einer falschen Beurkundung zu einer Gefängnisstrafe von 15 Monaten und einem Landesverweis von sieben Jahren verurteilt worden ist. Nach eigenen Angaben hat der Beschwerdeführer die Schweiz unmittelbar nach Erhalt des als unbefristet verfügten Einreiseverbots vom 1. September 2003 verlassen (zur Qualifikation des Einreiseverbots als Fernhaltemassnahme zur Abwendung einer künftigen Störung der öffentlichen Sicherheit und Ordnung SPESCHA/KERLAND/BOLZLI, a.a.O., S. 301). Die Gefahr für die öffentliche Ordnung, die öffentliche oder die nationale Sicherheit, welche vom Beschwerdeführer gemäss der Aktenlage ausgeht, vermag im Lichte der bundesgerichtlichen Rechtsprechung zu Art. 67 Abs. 3 AIG (oben, E. 2.3.1) kein über die Höchstgrenze von fünf Jahren, dessen Zeitlauf vorliegend im September 2003 einsetzte, hinausgehendes Einreiseverbot zu rechtfertigen. Anlässlich der Einreise des Beschwerdeführers im April 2019 in die Schweiz waren somit sowohl die strafrechtliche Landesverweisung von sieben Jahren wie auch die Fernhaltemassnahme in Form des unbefristet ausgesprochenen Einreiseverbots in ihrer Wirkung aufgehoben, weshalb der Haftgrund von Art. 76 Abs. 1 lit. b Ziff. 1 AIG in Verbindung mit Art. 75 Abs. 1 lit. c AIG offensichtlich nicht vorliegt. Die Beschwerde erweist sich als begründet, das angefochtene Urteil ist aufzuheben und der Beschwerdeführer ist unverzüglich aus der Haft zu entlassen.</w:t>
      </w:r>
    </w:p>
    <w:p>
      <w:r>
        <w:rPr>
          <w:b/>
        </w:rPr>
        <w:t>E. 3</w:t>
      </w:r>
    </w:p>
    <w:p>
      <w:r>
        <w:t>Bei diesem Verfahrensausgang sind keine Gerichtskosten zu erheben ( Art. 66 Abs. 1 und Abs. 4 BGG ). Die Vorinstanz wird die Kosten- und Entschädigungsfolgen neu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