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2C_654/2013 vom 12. Februar 2014</w:t>
      </w:r>
    </w:p>
    <w:p>
      <w:r>
        <w:t>Bundesgericht, 2014-02-12, FR</w:t>
      </w:r>
    </w:p>
    <w:p>
      <w:r>
        <w:rPr>
          <w:b/>
        </w:rPr>
        <w:t xml:space="preserve">Quelle: </w:t>
      </w:r>
      <w:r>
        <w:t>https://mcp.opencaselaw.ch/entscheid/bger_2C_654_2013</w:t>
      </w:r>
    </w:p>
    <w:p>
      <w:r>
        <w:t>FR: TF 2C_654/2013 du 12 février 2014</w:t>
      </w:r>
    </w:p>
    <w:p>
      <w:r>
        <w:t>IT: TF 2C_654/2013 del 12 febbraio 2014</w:t>
      </w:r>
    </w:p>
    <w:p>
      <w:pPr>
        <w:pStyle w:val="Heading2"/>
      </w:pPr>
      <w:r>
        <w:t>Erwägungen</w:t>
      </w:r>
    </w:p>
    <w:p>
      <w:r>
        <w:rPr>
          <w:b/>
        </w:rPr>
        <w:t>E. 1</w:t>
      </w:r>
    </w:p>
    <w:p>
      <w:r>
        <w:t>D'après l' art. 83 let . c ch. 2 et ch. 4 LTF, le recours en matière de droit public est irrecevable contre les décisions en matière de droit des étrangers qui concernent une autorisation à laquelle ni le droit fédéral ni le droit international ne donnent droit ainsi que contre celles qui concernent le renvoi. Dans la mesure où le recourant s'oppose à son renvoi, le recours en matière de droit public est irrecevable.</w:t>
      </w:r>
    </w:p>
    <w:p>
      <w:r>
        <w:t>En l'espèce, ce n'est pas la révocation de l'autorisation de séjour du recourant qui fait l'objet de la procédure mais le refus de renouveler l'autorisation de séjour dont la validité prendra fin à sa libération (art. 70 al. 1 de l'ordonnance du 24 octobre 2007 relative à l'admission, au séjour et à l'exercice d'une activité lucrative [OASA; RS 142.201]). Il n'a pas droit au renouvellement de cette autorisation (art. 33 al. 3 LEtr.).</w:t>
      </w:r>
    </w:p>
    <w:p>
      <w:r>
        <w:t>Le recourant invoque l' art. 8 CEDH et la garantie de la vie privée qui sous certaines conditions peuvent conférer un droit à l'obtention d'une autorisation de séjour.</w:t>
      </w:r>
    </w:p>
    <w:p>
      <w:r>
        <w:rPr>
          <w:b/>
        </w:rPr>
        <w:t>E. 2.1</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130 II 493 consid. 4.6 p. 503; arrêt 2C_507/2012 du 17 janvier 2013 consid. 5.2.1 et les arrêts cités). Selon la CourEDH, l' art. 8 CEDH protège le droit d'établir et de mettre en oeuvre des relations avec d'autres être humains; en d'autres termes, c'est la totalité des liens sociaux qui existent entre les étrangers et la société dans laquelle ils vivent qui entre dans la notion de vie privée au sens de l' art. 8 CEDH (arrêt de la CourEDH,</w:t>
      </w:r>
    </w:p>
    <w:p>
      <w:r>
        <w:t>Vasquez c. Suisse , du 26 novembre 2013, Req. n° 1785/08 § 37 et les références citées). L'incarcération ayant précisément pour effet d'écarter de la société la personne qui en est l'objet, un séjour en prison exclut nécessairement l'établissement et la mise en oeuvre de liens sociaux au sens de l' art. 8 CEDH entre la personne incarcérée et la société durant cette période (arrêt de la CourEDH,</w:t>
      </w:r>
    </w:p>
    <w:p>
      <w:r>
        <w:t>Vasquez c. Suisse , du 26 novembre 2013, Req. n° 1785/08 § 45)</w:t>
      </w:r>
    </w:p>
    <w:p>
      <w:r>
        <w:rPr>
          <w:b/>
        </w:rPr>
        <w:t>E. 2.2</w:t>
      </w:r>
    </w:p>
    <w:p>
      <w:r>
        <w:t>En l'espèce, le recourant fait valoir qu'il vit en Suisse depuis le 26 février 1991, ce qui constitue, selon lui, une très longue durée de séjour l'autorisant à se prévaloir du droit au respect de sa vie privée en Suisse garanti par l' art. 8 CEDH (arrêt de la CourEDH,</w:t>
      </w:r>
    </w:p>
    <w:p>
      <w:r>
        <w:t>Hasanbasic c. Suisse, Req. n° 52166/09 du 11 juin 2013 § 49). Il perd de vue que sa situation n'est pas comparable à celle qui a été examinée par la CourEDH en la cause</w:t>
      </w:r>
    </w:p>
    <w:p>
      <w:r>
        <w:t>Hasanbasic . La vie qu'il a menée avant d'entrer en détention le 9 mars 2000 s'est terminée à cette date. Les 14 dernières années vécues en Suisse l'ont été et le sont encore en régime carcéral. Considérer que ces années passées en prison autoriseraient le recourant à se prévaloir du droit au respect de sa vie privée au sens garanti par l' art. 8 CEDH reviendrait à admettre que plus l'infraction pénale commise par un étranger est grave, plus la détention sanctionnant le comportement pénal est longue, plus le délinquant pourrait invoquer le droit au respect de sa vie privée en raison d'un très long séjour sur le territoire d'un Etat contractant. Pareil raisonnement ne saurait être admis en tant qu'il constitue un abus de situation mal acquise. A supposer que les récents allègements du régime de détention du recourant puissent être pris en considération, ce qui paraît pour le moins douteux du moment que le comportement de ce dernier est étroitement surveillé par les services de l'Etat, ils ne sont pas suffisamment établis dans le temps et dans la société pour mériter une protection contre l'expulsion de Suisse. Le recourant ne peut par conséquent pas se prévaloir de l' art. 8 CEDH .</w:t>
      </w:r>
    </w:p>
    <w:p>
      <w:r>
        <w:rPr>
          <w:b/>
        </w:rPr>
        <w:t>E. 2.3</w:t>
      </w:r>
    </w:p>
    <w:p>
      <w:r>
        <w:t>S'il fallait admettre que le recourant puisse néanmoins se prévaloir du droit au respect de sa vie privée au sens de l' art. 8 CEDH , il faudrait alors rappeler qu'une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 l'espèce, le refus de renouveler l'autorisation de séjour du recourant est fondé sur les art. 33 al. 3 et 62 LEtr. Cette dernière disposition sanctionne les comportements pénalement répréhensibles, ce qui est réalisé en l'espèce.</w:t>
      </w:r>
    </w:p>
    <w:p>
      <w:r>
        <w:t>Il faudrait également faire remarquer, tant sous l'angle du droit interne que du droit conventionnel, que le refus de prolonger l'autorisation doit faire l'objet d'une pesée des intérêts et d'un examen de la proportionnalité (cf. art. 96 al. 1 LEtr et art. 8 § 2 CEDH ; ATF 135 II 377 consid. 4.3 p. 381). A cet égard comme l'a rappelé à bon droit l'instance précédente, la jurisprudence du Tribunal fédéral ( ATF 135 II 377 consid. 4.3 p. 381 s.) et de la Cour européenne des droits de l'homme (arrêts</w:t>
      </w:r>
    </w:p>
    <w:p>
      <w:r>
        <w:t>Boultif contre Suisse du 2 août 2001, Recueil de la CourEDH 2001-IX p. 137 § 48;</w:t>
      </w:r>
    </w:p>
    <w:p>
      <w:r>
        <w:t>Üner contre Pays-Bas du 18 octobre 2006, Recueil CourEDH 2006-XII p. 159 § 57 s.) a développé un certain nombre de critères. Il convient en particulier de prendre en compte: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Quand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(cf. arrêts 2C_365/2013 du 30 août 2013 consid. 2.3; 2C_418/2009 du 30 novembre 2009 consid. 4.1. La prévention d'infractions constitue à cet égard un intérêt public admissible (cf. arrêt 2C_141/2012 du 30 juillet 2012 consid. 3.2).</w:t>
      </w:r>
    </w:p>
    <w:p>
      <w:r>
        <w:t>Or, en l'espèce, il faudrait aussi admettre sous cet angle que l'instance précédente a jugé à bon droit que l'intérêt public à l'éloignement du recourant l'emportait de très loin sur les éléments qui pouvaient contrebalancer la gravité de la peine de réclusion de 20 ans pour assassinat et atteinte à la paix des morts, du moment que le recourant est célibataire, sans enfants et qu'il n'a pas fondé en Suisse une famille dont il faudrait préserver l'unité.</w:t>
      </w:r>
    </w:p>
    <w:p>
      <w:r>
        <w:rPr>
          <w:b/>
        </w:rPr>
        <w:t>E. 3</w:t>
      </w:r>
    </w:p>
    <w:p>
      <w:r>
        <w:t>Invoquant l' art. 8 Cst. qui protège le droit à l'égalité, le recourant demande à être traité de la même manière que l'a été Shanmugalingam Kathiravelu qui aurait été autorisé à demeurer en Suisse par arrêt de l'instance précédente. Ce grief est irrecevable. En effet, le recourant n'expose pas concrètement, conformément aux exigences accrues de motivation de l' art. 106 al. 2 LTF , en quoi sa situation personnelle, en particulier d'homme célibataire ayant été condamné à 20 ans de réclusion pour assassinat, serait comparable à celle de la personne dont le sort a été jugé par arrêt PE.2011.0355 de l'instance précédente le 26 avril 2012.</w:t>
      </w:r>
    </w:p>
    <w:p>
      <w:r>
        <w:rPr>
          <w:b/>
        </w:rPr>
        <w:t>E. 4</w:t>
      </w:r>
    </w:p>
    <w:p>
      <w:r>
        <w:t>Le recourant ne peut donc se prévaloir ni du droit au respect de la vie privée garanti par l' art. 8 CEDH ni du droit à l'égalité garanti par l' art. 8 Cst. Il s'ensuit que le recours en matière de droit public est irrecevable. Seule reste ouverte la voie du recours constitutionnel subsidiaire pour violation des droits constitutionnels ( art. 113 et 116 LTF ).</w:t>
      </w:r>
    </w:p>
    <w:p>
      <w:r>
        <w:rPr>
          <w:b/>
        </w:rPr>
        <w:t>E. 5.1</w:t>
      </w:r>
    </w:p>
    <w:p>
      <w:r>
        <w:t>La qualité pour former un recours constitutionnel subsidiaire suppose toutefois un " intérêt juridique " à l'annulation ou à la modification de la décision attaquée ( art. 115 let. b LTF ). Le recourant, qui ne peut se prévaloir de l' art. 8 CEDH (cf. consid. 2.2 ci-dessus), n'a pas une position juridique protégée lui conférant la qualité pour agir au fond sous cet angle ( ATF 133 I 185 ). Il peut en revanche se plaindre de la violation de l' art. 3 CEDH ( ATF 137 II 305 ), qui interdit la torture ainsi que les peines ou traitements inhumains ou dégradants. Il peut également se plaindre de la violation de droits de parties dont le manquement équivaut à un déni de justice formel pour autant que le grief soit invoqué et motivé par le recourant ( art. 106 al. 2 et 117 LTF ).</w:t>
      </w:r>
    </w:p>
    <w:p>
      <w:r>
        <w:rPr>
          <w:b/>
        </w:rPr>
        <w:t>E. 5.2</w:t>
      </w:r>
    </w:p>
    <w:p>
      <w:r>
        <w:t>Invoquant l' art. 3 CEDH , le recourant fait valoir que son renvoi de Suisse pour le Sri Lanka aura pour effet qu'il ne pourra pas obtenir les traitements minimums nécessaires à ne pas mettre en danger son pronostic vital. Invoquant l' art. 29 al. 2 Cst. , il se plaint également dans ce contexte de la violation du droit à la motivation et de l'appréciation des preuves.</w:t>
      </w:r>
    </w:p>
    <w:p>
      <w:r>
        <w:rPr>
          <w:b/>
        </w:rPr>
        <w:t>E. 6.1</w:t>
      </w:r>
    </w:p>
    <w:p>
      <w:r>
        <w:t>Le grief tiré de l' art. 3 CEDH se fonde sur l'état de santé du recourant et sur l'absence de traitement médical apte à soigner sa maladie dans son pays d'origine. Il s'agit d'un grief similaire à celui que la CourEDH a examiné en Grande Chambre en 2008 dans l'affaire</w:t>
      </w:r>
    </w:p>
    <w:p>
      <w:r>
        <w:t>N. concernant l'expulsion des personnes gravement malades (arrêt de la CourEDH,</w:t>
      </w:r>
    </w:p>
    <w:p>
      <w:r>
        <w:t>N. c. Royaume-Uni, du 27 mai 2008 , Req. n° 26565/05, §§ 29-45).</w:t>
      </w:r>
    </w:p>
    <w:p>
      <w:r>
        <w:t>Cette jurisprudence a été confirmée récemment, notamment dans l'affaire</w:t>
      </w:r>
    </w:p>
    <w:p>
      <w:r>
        <w:t>Yoh-Ekale Mwanje . Bien qu'elle ait constaté que l'accès aux médicaments nécessaires était aléatoire, que la distribution du traitement demeurait marginale et que la privation de médicaments aurait pour conséquence de détériorer l'état de santé de la requérante et d'engager son pronostic vital à court ou moyen terme, la CourEDH a néanmoins jugé que de telles circonstances n'étaient pas suffisantes pour emporter violation de l' art. 3 CEDH : "</w:t>
      </w:r>
    </w:p>
    <w:p>
      <w:r>
        <w:t>le fait qu'en cas d'expulsion de l'Etat contractant la requérante connaîtrait une dégradation importante de sa situation, et notamment une réduction significative de son espérance de vie, n'était pas en soi suffisant pour emporter violation de l' art. 3 CEDH [...]. L' art. 3 CEDH ne faisait pas obligation à l'Etat contractant de pallier [les] disparités en fournissant des soins de santé gratuits et illimités à tous les étrangers dépourvus du droit de demeurer sur son territoire. Conclure le contraire ferait peser une charge trop lourde pour les Etats contractants". Il n'en allait autrement que lorsque des considérations humanitaires encore plus impérieuses caractérisaient l'affaire. Celles-ci tenaient principalement à l'état de santé des intéressés avant l'exécution de la décision d'éloignement (arrêt de la CourEDH,</w:t>
      </w:r>
    </w:p>
    <w:p>
      <w:r>
        <w:t>Yoh-Ekale Mwanje c. Belgique , du 20 décembre 2011, Req. n° 10486/10, § 80 ss). Ainsi, dans un arrêt</w:t>
      </w:r>
    </w:p>
    <w:p>
      <w:r>
        <w:t>D. concernant une personne atteinte de VIH, la CourEDH a tenu compte du fait que le taux de CD4 du requérant était inférieur à 10, que son système immunitaire avait subi des dommages graves et irréparables et que le pronostic à son sujet était très mauvais, pour conclure qu'il était à un stade critique de sa maladie et que son éloignement vers un pays qui n'était pas équipé pour lui prodiguer les traitements nécessaires était contraire à l' art. 3 CEDH (arrêt de la CourEDH,</w:t>
      </w:r>
    </w:p>
    <w:p>
      <w:r>
        <w:t>D. c. Royaume-Uni, du 2 mai 1997, Recueil 1997-III, §§ 13 et 15 ainsi que §§ 51-54). En revanche, dans l'affaire</w:t>
      </w:r>
    </w:p>
    <w:p>
      <w:r>
        <w:t>N. précitée, la Cour a constaté que, grâce au traitement médical dont la requérante bénéficiait au Royaume-Uni, son état de santé était stable, qu'elle n'était pas dans un état critique et qu'elle était apte à voyager (§§ 47 et 50).</w:t>
      </w:r>
    </w:p>
    <w:p>
      <w:r>
        <w:rPr>
          <w:b/>
        </w:rPr>
        <w:t>E. 6.2</w:t>
      </w:r>
    </w:p>
    <w:p>
      <w:r>
        <w:t>En l'espèce, il ressort de l'arrêt attaqué que l'état de santé du recourant dépend de médicaments particuliers, en particulier de l'administration de Remicade® par perfusion à l'hôpital toutes les huit semaines environ pendant deux heures dont le coût s'élève à plusieurs milliers de francs par mois et que les complications médicales de la maladie de Behçet sont susceptibles de s'aggraver avec les années, en particulier aux niveaux pulmonaire (poumons déjà atteints) et vasculaire. L'arrêt attaqué a aussi retenu que le Remicade® peut être obtenu à Colombo au Sri Lanka. Il est vrai comme cela ressort des certificats médicaux relatés dans l'arrêt attaqué que le recourant vient de Jaffna, ville située très loin de Colombo, en territoire Tamoul, et que le système sanitaire du Sri Lanka ne permet pas de garantir que de nouvelles désobstructions vasculaires puissent être effectuées. Ces difficultés ne sont toutefois pas insurmontables, même si elles peuvent avoir pour conséquence de détériorer l'état de santé du recourant et d'engager son pronostic vital à court ou moyen terme. Cet aspect de la situation personnelle du recourant n'est pas contesté. Il n'est toutefois pas décisif. En effet, conformément à la jurisprudence de la CourEDH relative à l' art. 3 CEDH , la licéité du renvoi dépend directement de l'état de santé du recourant avant son exécution. Or, sous cet angle, force est de constater, comme cela ressort de l'arrêt attaqué, que le recourant travaille depuis octobre 2012 à plein temps en tant que menuisier.</w:t>
      </w:r>
    </w:p>
    <w:p>
      <w:r>
        <w:rPr>
          <w:b/>
        </w:rPr>
        <w:t>E. 6.3</w:t>
      </w:r>
    </w:p>
    <w:p>
      <w:r>
        <w:t>Il résulte de ce qui précède que le recourant ne se trouve pas dans un état critique et qu'aucune considération humanitaire impérieuse ne justifie par conséquent le maintien de son séjour en Suisse. En confirmant dans le dispositif de l'arrêt du 12 juin 2013 le maintien de la décision du Service de la population du 16 mai 2011, l'instance précédente n'a pas violé l' art. 3 CEDH .</w:t>
      </w:r>
    </w:p>
    <w:p>
      <w:r>
        <w:t>Il n'en demeure pas moins que la décision du 16 mai 2011 a fixé la date du renvoi du recourant au plus tôt lorsqu'il "aura satisfait à la justice", ce qui ne se réalisera que le 8 mars 2020. D'ici là, il n'est pas exclu que la situation du recourant évolue, ce que le Tribunal fédéral, qui est lié par les faits constatés par l'instance précédente (art. 99 al. 1 et 105 al. 1 LTF), ne peut pas anticiper (cf. sur cette question: arrêt 2C_365/2013 du 30 août 2013 consid. 2 dont la publication officielle est prévue).</w:t>
      </w:r>
    </w:p>
    <w:p>
      <w:r>
        <w:rPr>
          <w:b/>
        </w:rPr>
        <w:t>E. 7.1</w:t>
      </w:r>
    </w:p>
    <w:p>
      <w:r>
        <w:t>Au vu de ce qui précède, le grief de violation du droit à une motivation doit être rejeté. En effet, ce sont à ces éléments de faits, dûment mentionnés dans l'arrêt attaqué, que faisait référence l'instance précédente lorsqu'elle a jugé que le recourant était atteint dans sa santé et qu'il aurait besoin d'un médicament qu'il lui serait difficile de se procurer dans son pays, ajoutant qu'il ne s'agissait pas là d'une affection qu'on pouvait considérer comme si grave qu'elle imposait le maintien de l'autorisation de séjour. Le recourant pouvait comprendre cette motivation et s'y opposer, ce qu'il a d'ailleurs fait en exposant le grief de violation de l' art. 3 CEDH .</w:t>
      </w:r>
    </w:p>
    <w:p>
      <w:r>
        <w:rPr>
          <w:b/>
        </w:rPr>
        <w:t>E. 7.2</w:t>
      </w:r>
    </w:p>
    <w:p>
      <w:r>
        <w:t>Le recourant se plaint enfin de ce que les pronostics vitaux posés par les médecins n'ont pas été examinés par l'instance précédente. Ce grief, qu'il faut comprendre comme un grief d'appréciation arbitraire des preuves, est irrecevable parce qu'il n'est pas motivé dans le respect des exigences accrues en la matière posées par l' art. 106 al. 2 LTF ( art. 117 LTF ).</w:t>
      </w:r>
    </w:p>
    <w:p>
      <w:r>
        <w:rPr>
          <w:b/>
        </w:rPr>
        <w:t>E. 8</w:t>
      </w:r>
    </w:p>
    <w:p>
      <w:r>
        <w:t>Les considérants qui précèdent conduisent à l'irrecevabilité du recours en matière de droit public et au rejet du recours constitutionnel subsidiaire dans la mesure où il est recevable. Succombant, le recourant doit supporter les frais de la procédure fédérale ( art. 66 al. 1 et 3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