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2C_654/2007 vom 4. April 2008</w:t>
      </w:r>
    </w:p>
    <w:p>
      <w:r>
        <w:t>Bundesgericht, 2008-04-04, DE</w:t>
      </w:r>
    </w:p>
    <w:p>
      <w:r>
        <w:rPr>
          <w:b/>
        </w:rPr>
        <w:t xml:space="preserve">Quelle: </w:t>
      </w:r>
      <w:r>
        <w:t>https://mcp.opencaselaw.ch/entscheid/bger_2C_654_2007</w:t>
      </w:r>
    </w:p>
    <w:p>
      <w:r>
        <w:t>FR: TF 2C_654/2007 du 4 avril 2008</w:t>
      </w:r>
    </w:p>
    <w:p>
      <w:r>
        <w:t>IT: TF 2C_654/2007 del 4 aprile 2008</w:t>
      </w:r>
    </w:p>
    <w:p>
      <w:pPr>
        <w:pStyle w:val="Heading2"/>
      </w:pPr>
      <w:r>
        <w:t>Erwägungen</w:t>
      </w:r>
    </w:p>
    <w:p>
      <w:r>
        <w:rPr>
          <w:b/>
        </w:rPr>
        <w:t>E. 1.1</w:t>
      </w:r>
    </w:p>
    <w:p>
      <w:r>
        <w:t>Nach Art. 83 lit. c Ziff. 2 BGG ist die Beschwerde in öffentlich-rechtlichen Angelegenheiten auf dem Gebiet des Ausländerrechts ausgeschlossen gegen die Erteilung oder Verweigerung von Bewilligungen, auf die weder das Bundesrecht noch das Völkerrecht einen Anspruch einräumt.</w:t>
      </w:r>
    </w:p>
    <w:p>
      <w:r>
        <w:rPr>
          <w:b/>
        </w:rPr>
        <w:t>E. 1.2</w:t>
      </w:r>
    </w:p>
    <w:p>
      <w:r>
        <w:t>Gemäss Art. 126 Abs. 1 des neuen Bundesgesetzes vom 16. Dezember 2005 über die Ausländerinnen und Ausländer (AuG; SR 142.20) , welches am 1. Januar 2008 in Kraft getreten ist, bleibt für Gesuche, die vor diesem Zeitpunkt gestellt worden sind, das bisherige Recht anwendbar. Das muss auch gelten für Entscheide über die Verlängerung einer Aufenthaltsbewilligung, wenn sie, wie hier, noch unter der Herrschaft des bisherigen Rechts ergangen sind.</w:t>
      </w:r>
    </w:p>
    <w:p>
      <w:r>
        <w:rPr>
          <w:b/>
        </w:rPr>
        <w:t>E. 1.3</w:t>
      </w:r>
    </w:p>
    <w:p>
      <w:r>
        <w:t>Nach Art. 7 Abs. 1 des hier noch massgebenden Bundesgesetzes vom 26. März 1931 über Aufenthalt und Niederlassung der Ausländer (ANAG) besitzt der Beschwerdeführer grundsätzlich einen Rechtsanspruch auf Erteilung und Verlängerung der Aufenthaltsbewilligung, weshalb die Beschwerde in öffentlich-rechtlichen Angelegenheiten zulässig ist.</w:t>
      </w:r>
    </w:p>
    <w:p>
      <w:r>
        <w:rPr>
          <w:b/>
        </w:rPr>
        <w:t>E. 1.4</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w:t>
      </w:r>
    </w:p>
    <w:p>
      <w:r>
        <w:t>Neue Tatsachen und Beweismittel dürfen nur soweit vorgebracht werden, als erst der Entscheid der Vorinstanz dazu Anlass gibt ( Art. 99 Abs. 1 BGG ). Ausgeschlossen ist die Geltendmachung nachträglich eingetretener neuer Tatsachen. Das Schreiben der Ehefrau vom 4. November 2007, die Fotografie sowie das (zudem verspätet eingereichte) Protokoll der Vormundschaftsbehörde Grabs vom 3. Dezember 2007 sind somit unbeachtlich, wobei sie am Ausgang des Verfahrens ohnehin nichts zu ändern vermöchten.</w:t>
      </w:r>
    </w:p>
    <w:p>
      <w:r>
        <w:rPr>
          <w:b/>
        </w:rPr>
        <w:t>E. 2.1</w:t>
      </w:r>
    </w:p>
    <w:p>
      <w:r>
        <w:t>Gemäss Art. 7 Abs. 2 ANAG hat der ausländische Ehegatte eines Schweizer Bürgers keinen Anspruch auf Erteilung der ihm - wie erwähnt - nach Absatz 1 grundsätzlich zustehenden Aufenthaltsbewilligung, wenn die Ehe eingegangen worden ist, um die Vorschriften über Aufenthalt und Niederlassung von Ausländern zu umgehen (Scheinehe, Ausländerrechtsehe). Dass Ehegatten mit der Heirat nicht eine eheliche Lebensgemeinschaft begründen, sondern die ausländerrechtlichen Vorschriften umgehen wollen, entzieht sich in der Regel dem direkten Beweis und kann diesfalls nur durch Indizien nachgewiesen werden. Für das Vorliegen einer Ausländerrechtsehe können beispielsweise die Umstände und die Dauer der Bekanntschaft, der Altersunterschied sowie die drohende Wegweisung des ausländischen Ehegatten sprechen. Für die Anwendung von Art. 7 Abs. 2 ANAG ist erforderlich, dass die eheliche Gemeinschaft nicht wirklich gewollt war; auf die Motive der Heirat kommt es mit andern Worten nicht an, sofern der Wille vorhanden ist, eine Lebensgemeinschaft zu begründen ( BGE 128 II 145 E. 2.1 S. 151 mit Hinweis).</w:t>
      </w:r>
    </w:p>
    <w:p>
      <w:r>
        <w:rPr>
          <w:b/>
        </w:rPr>
        <w:t>E. 2.2</w:t>
      </w:r>
    </w:p>
    <w:p>
      <w:r>
        <w:t>Das Verwaltungsgericht des Kantons St. Gallen ist zur Auffassung gelangt, es liege eine Scheinehe vor. Es konnte sich für diesen Schluss auf zahlreiche Indizien stützen: Der Beschwerdeführer hat geheiratet, nachdem er mit allen Mitteln ohne Erfolg versucht hatte, ein Anwesenheitsrecht in der Schweiz zu erwirken und schliesslich in sein Heimatland ausgeschafft worden war. Kurz nach der Heirat bezogen die Eheleute getrennte Wohnungen, wobei die dafür angegebenen Gründe nicht überzeugen. Zudem ging die Ehegattin bereits wenige Monate nach dem Eheschluss eine Beziehung mit einem andern Mann ein, bei dem sie unter der Woche lebte. Dass seine Ehegattin während dieser Zeit nicht in ihrer Wohnung anzutreffen war, schien den Beschwerdeführer jedoch nicht zu beunruhigen. Er war offensichtlich an einem Zusammenleben mit seiner Ehefrau nicht wirklich interessiert. Erst als die Fremdenpolizeibehörde das Verfahren betreffend die Nichtverlängerung der Aufenthaltsbewilligung des Beschwerdeführers eingeleitet hatte, zogen die Ehegatten in eine gemeinsame Wohnung. Von den persönlichen Lebensumständen des Partners haben die Ehegatten nur mangelhaft Kenntnis. Dazu kommt, dass der Beschwerdeführer etwas über vierzehn Jahre jünger ist als seine Ehegattin, was zwar nicht für sich allein, aber im Zusammenhang mit den gesamten Verhältnissen als zusätzliches für eine Scheinehe sprechendes Indiz betrachtet werden darf. Nachdem klare Hinweise auf eine Scheinehe bestehen, hat die Vorinstanz im Übrigen zu Recht offen gelassen, wie es sich mit dem Geldbetrag verhält, den der Beschwerdeführer seiner Ehefrau zur Verfügung stellte.</w:t>
      </w:r>
    </w:p>
    <w:p>
      <w:r>
        <w:t>Es sind keine Umstände ersichtlich, welche die Folgerung der Vorinstanz, die Ehe sei nicht in der Absicht eingegangen worden, eine dauerhafte Lebensgemeinschaft im Sinne von Art. 7 ANAG zu führen, sondern nur, um dem Beschwerdeführer ein Aufenthaltsrecht in der Schweiz zu verschaffen, zu entkräften vermöchten. Die Vorbringen in der Beschwerdeschrift, d.h. insbesondere der Hinweis auf die nunmehrigen Bemühungen zur Führung eines gemeinsamen Haushaltes sowie das geltend gemachte Interesse der Ehefrau an der Aufrechterhaltung der Beziehung zum Beschwerdeführer, sind nicht geeignet, diesen Schluss zu widerlegen. Wie die Vorinstanz zutreffend ausführt, ist nicht aussergewöhnlich, dass bei Scheinehen unter dem Druck eines laufenden Verfahrens Vorkehren getroffen werden, um eine wirkliche Lebensgemeinschaft vorzutäuschen. Für die Begründung kann ergänzend auf die Ausführungen im angefochtenen Urteil verwiesen werden ( Art. 109 Abs. 3 BGG ).</w:t>
      </w:r>
    </w:p>
    <w:p>
      <w:r>
        <w:rPr>
          <w:b/>
        </w:rPr>
        <w:t>E. 2.3</w:t>
      </w:r>
    </w:p>
    <w:p>
      <w:r>
        <w:t>Damit besitzt der Beschwerdeführer keinen Anspruch auf Verlängerung seiner Aufenthaltsbewilligung. Das angefochtene Urteil erweist sich somit als bundesrechtskonform.</w:t>
      </w:r>
    </w:p>
    <w:p>
      <w:r>
        <w:rPr>
          <w:b/>
        </w:rPr>
        <w:t>E. 3.1</w:t>
      </w:r>
    </w:p>
    <w:p>
      <w:r>
        <w:t>Die Beschwerde ist folglich als offensichtlich unbegründet im vereinfachten Verfahren nach Art. 109 BGG abzuweisen.</w:t>
      </w:r>
    </w:p>
    <w:p>
      <w:r>
        <w:rPr>
          <w:b/>
        </w:rPr>
        <w:t>E. 3.2</w:t>
      </w:r>
    </w:p>
    <w:p>
      <w:r>
        <w:t>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