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2C_653/2013 vom 17. Juli 2013</w:t>
      </w:r>
    </w:p>
    <w:p>
      <w:r>
        <w:t>Bundesgericht, 2013-07-17, FR</w:t>
      </w:r>
    </w:p>
    <w:p>
      <w:r>
        <w:rPr>
          <w:b/>
        </w:rPr>
        <w:t xml:space="preserve">Quelle: </w:t>
      </w:r>
      <w:r>
        <w:t>https://mcp.opencaselaw.ch/entscheid/bger_2C_653_2013</w:t>
      </w:r>
    </w:p>
    <w:p>
      <w:r>
        <w:t>FR: TF 2C_653/2013 du 17 juillet 2013</w:t>
      </w:r>
    </w:p>
    <w:p>
      <w:r>
        <w:t>IT: TF 2C_653/2013 del 17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28 mai 2013, la Cour de justice du canton de Genève a rejeté le recours déposé par la société X.________ AG contre les décisions de taxation rendues par l'Administration fiscale cantonale en matière d'impôt cantonal et communal pour les périodes fiscales 2008 et 2009. Cet arrêt a été reçu par le mandataire de la société le 11 juin 2013. Il contenait au surplus un exposé des voies de recours à disposition de la société ainsi que des indications sur les conditions minimales de recevabilité du mémoire de recours.</w:t>
      </w:r>
    </w:p>
    <w:p>
      <w:r>
        <w:rPr>
          <w:b/>
        </w:rPr>
        <w:t>E. 2</w:t>
      </w:r>
    </w:p>
    <w:p>
      <w:r>
        <w:t>Par courrier du 12 juillet 2013, le mandataire de la société a écrit au Tribunal fédéral pour l'informer qu'il contestait l'arrêt du 28 mai 2013 et tenait à ce qu'il en soit fait état. Il a en outre demandé au Tribunal fédéral de lui indiquer les démarches qu'il convenait d'effectuer pour donner suite à la contestation et la formaliser.</w:t>
      </w:r>
    </w:p>
    <w:p>
      <w:r>
        <w:rPr>
          <w:b/>
        </w:rPr>
        <w:t>E. 3</w:t>
      </w:r>
    </w:p>
    <w:p>
      <w:r>
        <w:t>Aux termes de l'art. 42 al. 1 de la loi fédérale du 17 juin 2005 sur le Tribunal fédéral (LTF; RS 173.110), le mémoire de recours doit contenir les conclusions et les motifs à l'appui de celles-ci. La motivation doit exposer succinctement en quoi l'acte attaqué viole le droit ( art. 42 al. 2 LTF ). Pour satisfaire à cette exigence, le recourant doit discuter les motifs de la décision entreprise et indiquer précisément en quoi il estime que l'autorité précédente a méconnu le droit (cf. ATF 133 IV 119 consid. 6.3 p. 120 s., 286 consid. 1.4 p. 287).</w:t>
      </w:r>
    </w:p>
    <w:p>
      <w:r>
        <w:t>En l'espèce, l'écriture du mandataire de la recourante, qui se borne à signifier sa volonté de recourir, ne répond manifestement pas aux exigences de motivation de l' art. 42 LTF .</w:t>
      </w:r>
    </w:p>
    <w:p>
      <w:r>
        <w:rPr>
          <w:b/>
        </w:rPr>
        <w:t>E. 4</w:t>
      </w:r>
    </w:p>
    <w:p>
      <w:r>
        <w:t>Le recours est ainsi manifestement irrecevable ( art. 108 al. 1 let. b LTF ) et doit être traité selon la procédure simplifiée de l' art. 108 LTF , sans qu'il y ait lieu d'ordonner un échange d'écritures. Succombant, la recourante doit supporter les frais de justice devant le Tribunal fédéral ( art. 66 al. 1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