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2C_652/2014 vom 24. Dezember 2014</w:t>
      </w:r>
    </w:p>
    <w:p>
      <w:r>
        <w:t>Bundesgericht, 2014-12-24, FR</w:t>
      </w:r>
    </w:p>
    <w:p>
      <w:r>
        <w:rPr>
          <w:b/>
        </w:rPr>
        <w:t xml:space="preserve">Quelle: </w:t>
      </w:r>
      <w:r>
        <w:t>https://mcp.opencaselaw.ch/entscheid/bger_2C_652_2014</w:t>
      </w:r>
    </w:p>
    <w:p>
      <w:r>
        <w:t>FR: TF 2C_652/2014 du 24 décembre 2014</w:t>
      </w:r>
    </w:p>
    <w:p>
      <w:r>
        <w:t>IT: TF 2C_652/2014 del 24 dicembre 2014</w:t>
      </w:r>
    </w:p>
    <w:p>
      <w:pPr>
        <w:pStyle w:val="Heading2"/>
      </w:pPr>
      <w:r>
        <w:t>Erwägungen</w:t>
      </w:r>
    </w:p>
    <w:p>
      <w:r>
        <w:rPr>
          <w:b/>
        </w:rPr>
        <w:t>E. 1.1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2C_490/2014 du 26 novembre 2014 consid. 1.2; 2C_199/2010 du 12 avril 2011 consid. 3.3, non publié in ATF 137 II 383 ). Dans la mesure où le recourant conclut, parallèlement à l'annulation de l'arrêt du 27 mai 2014 de la Cour de justice, à ce qu'il soit dit et constaté "que Monsieur X.________ n'a pas violé l'art. 12 lit. a LLCA", il formule une conclusion constatatoire qui est irrecevable.</w:t>
      </w:r>
    </w:p>
    <w:p>
      <w:r>
        <w:rPr>
          <w:b/>
        </w:rPr>
        <w:t>E. 1.3</w:t>
      </w:r>
    </w:p>
    <w:p>
      <w:r>
        <w:t>La conclusion du recours tendant à l'annulation de la décision rendue en première instance est irrecevable en raison de l'effet dévolutif complet du recours auprès de la Cour de justice ( ATF 136 II 539 consid. 1.2 p. 543; concernant spécifiquement Genève, arrêts 8C_47/2013 du 28 octobre 2013 consid. 4.2; 2C_886/2012 du 29 juin 2013 consid. 1, non publié in ATF 139 II 529 ).</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et même si le recourant affirme se référer aux faits retenus par l'instance précédente, en tant que celui-ci avance des éléments de fait ne ressortant pas de l'arrêt attaqué sans exposer en quoi les conditions qui viennent d'être rappelées seraient réunies, il n'en sera pas tenu compte.</w:t>
      </w:r>
    </w:p>
    <w:p>
      <w:r>
        <w:rPr>
          <w:b/>
        </w:rPr>
        <w:t>E. 3</w:t>
      </w:r>
    </w:p>
    <w:p>
      <w:r>
        <w:t>Il est reproché au recourant d'avoir écrit le 4 février 2013 au Tribunal des mesures de contrainte que le Ministère public avait une approche au caractère purement raciste de l'affaire relative à son client. Le recourant concède que le discours tenu dans son courrier fait montre d'une certaine exagération. Toutefois, il estime qu'il avait le devoir de relever le caractère inapproprié des propos du Ministère public, qu'il n'était pas de mauvaise foi, qu'il ne visait pas nommément un procureur et qu'il n'avait pas adopté une forme attentatoire à l'honneur. Pour ces raisons, il est d'avis que l'avertissement qui a été prononcé à son encontre viole l' art. 12 let. a LLCA .</w:t>
      </w:r>
    </w:p>
    <w:p>
      <w:r>
        <w:rPr>
          <w:b/>
        </w:rPr>
        <w:t>E. 3.1</w:t>
      </w:r>
    </w:p>
    <w:p>
      <w:r>
        <w:t>Le Tribunal fédéral revoit librement le point de savoir s'il y a eu violation des règles professionnelles (arrêts 2C_247/2014 du 26 novembre 2014 consid. 2.1; 2P.156/2006 du 8 novembre 2006 consid. 4.3, in Pra 2007 n° 87 p. 587), soit des règles de droit fédéral (cf. art. 95 let. a et 106 al. 1 LTF ), en fonction du comportement concret de la personne mise en cause au regard de la situation qui se présentait à elle au moment des faits (arrêt 2C_1180/2013 du 24 octobre 2014 consid. 2.1).</w:t>
      </w:r>
    </w:p>
    <w:p>
      <w:r>
        <w:rPr>
          <w:b/>
        </w:rPr>
        <w:t>E. 3.2</w:t>
      </w:r>
    </w:p>
    <w:p>
      <w:r>
        <w:t>L' art. 12 let. a LLCA dispose que l'avocat exerce sa profession avec soin et diligence. Cette disposition constitue une clause générale, qui ne se limite pas aux rapports professionnels de l'avocat avec ses clients, mais qui englobe ceux avec ses confrères, ainsi qu'avec toutes les autorités ( ATF 130 II 270 consid. 3.2 p. 276 ss; arrêt 2C_1138/2013 du 5 septembre 2014 consid. 2.1).</w:t>
      </w:r>
    </w:p>
    <w:p>
      <w:r>
        <w:t>Selon la jurisprudence du Tribunal fédéral, l'avocat, qui peut se prévaloir de la liberté d'opinion ( art. 16 Cst. ),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Etat fondé sur le droit. En fonction de cet intérêt public, l'avocat a le devoir et le droit de relever les anomalies et de dénoncer les vices de la procédure. Le prix à payer pour cette liberté de critiquer l'administration de la justice consiste à s'accommoder de certaines exagérations (cf. ATF 131 IV 154 consid. 1.3.2 p. 157 s.; 130 II 270 consid. 3.2.2 p. 277 s.).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Les affirmations tenues en dehors de toute procédure, notamment les déclarations publiques, sont quant à elles soumises à des exigences plus strictes ( ATF 106 Ia 100 consid. 8b p. 107 ss). De plus, l'obligation de diligence interdit à l'avocat d'entreprendre des actes qui pourraient nuire aux intérêts de son client ( ATF 131 IV 154 consid. 1.3.2 p. 157 s.). Pour qu'un comportement tombe sous le coup de l' art. 12 let. a LLCA , il suppose toutefois l'existence d'un manquement significatif aux devoirs de la profession (cf. arrêt 2C_878/2011 du 28 février 2012 consid. 5.1; 2C_452/2011 du 25 août 2011 consid. 5.1 et les références citées). Ces principes valent aussi à l'égard des autorités administratives (arrêt 2A.448/2003 précité consid. 5).</w:t>
      </w:r>
    </w:p>
    <w:p>
      <w:r>
        <w:rPr>
          <w:b/>
        </w:rPr>
        <w:t>E. 3.3</w:t>
      </w:r>
    </w:p>
    <w:p>
      <w:r>
        <w:t>Dans un courrier du 29 novembre 2012, le procureur en charge de la procédure pénale ouverte à l'encontre du client du recourant a écrit à ce dernier pour refuser de donner suite à une "demande de vérification". Il a en particulier motivé son refus en expliquant que l'existence de velléités de vengeance semblait inhérente au milieu roumain auquel appartenaient les personnes impliquées. Par la suite, le 4 février 2013, dans une prise de position adressée au Tribunal des mesures de contrainte, le recourant s'est opposé à une demande de prolongation de la détention de son client demandée par le Ministère public en expliquant en particulier que le risque de représailles évoqué par celui-ci ne reposait sur aucun élément concret, mais ressortait d'une approche au caractère purement raciste exprimée par écrit et portant sur la violence inhérente au milieu roumain.</w:t>
      </w:r>
    </w:p>
    <w:p>
      <w:r>
        <w:t>En l'occurrence, si le Ministère public a dénoncé le recourant à la Commission en raison des propos tenus dans le courrier du 4 février 2013, il l'a également fait ensuite des nombreuses demandes de mise en liberté et des recours interjetés contre les décisions les refusant. Ce comportement l'a d'ailleurs motivé à retirer le mandat d'office du recourant. Suite à l'arrêt du Tribunal fédéral admettant le recours contre ce retrait, seuls les propos tenus dans le courrier précité ont finalement constitué l'objet de la procédure disciplinaire. Il ne fait pas de doute qu'affirmer par écrit que l'approche du Ministère public avait un caractère purement raciste était inconsidéré, n'était pas nécessaire et aurait pu être omis. Le recourant semble d'ailleurs le reconnaître lui-même. Toutefois, cette unique affirmation litigieuse est intervenue dans le cadre d'une procédure et en réponse à des propos peu nuancés de la part du Ministère public. De plus, et comme il le relève justement, le recourant ne s'est pas adressé directement au procureur en charge du dossier, mais au Tribunal des mesures de contrainte, en parlant d'une autorité en général (au contraire de l'arrêt 2C_247/2014 précité). Il l'a fait pour garantir les droits du prévenu et chercher à permettre à celui-ci de ne pas voir sa détention prolongée. Par sa déclaration, le recourant n'a pas nui aux intérêts de son client. Il ne ressort également pas de l'arrêt entrepris qu'il aurait eu le dessein de blesser inutilement la partie adverse ou d'attenter à son honneur. Certes, on est en droit d'attendre d'un avocat qui s'exprime par écrit une plus grande retenue que lors de propos tenus oralement dans le feu d'une séance (arrêt 2C_247/2014 précité consid. 2.3 et les références; Bohnet/Martenet, Droit de la profession d'avocat, 2009, n° 1252). Ici également, il faut toutefois tenir compte de la situation d'espèce et constater que le recourant a répondu le lundi 4 février 2013 à la demande de prolongation de détention du Ministère public déposée le vendredi 1er février 2013. Il a donc rédigé son mémoire dans l'urgence et n'a guère eu l'opportunité de nuancer minutieusement ses propos. De plus, on ne saurait passer sous silence le fait que le recourant n'avait jamais fait l'objet d'une quelconque mesure disciplinaire. Au vu de ce qui précède, bien que cette unique déclaration ait dépassé la retenue que le recourant aurait dû s'imposer et qu'elle n'aurait vraisemblablement pas été tolérée hors procédure, dans la situation concrète, celle-ci n'atteint pas la limite à partir de laquelle le comportement d'un avocat doit être sanctionné (arrêt 2C_1138/2013 précité consid. 2.3; cf. Walter Fellmann, in Fellmann/Zindel [éd.], Kommentar zum Anwaltsgesetz, 2e éd. 2011, n° 50d ad art. 12 LLCA ). Elle ne constitue pas un manquement significatif aux devoirs de la profession, mais une exagération à laquelle l'autorité devait pouvoir s'accommoder dans ces circonstances. En conséquence, le recours doit être admis et l'arrêt entrepris annulé.</w:t>
      </w:r>
    </w:p>
    <w:p>
      <w:r>
        <w:rPr>
          <w:b/>
        </w:rPr>
        <w:t>E. 4</w:t>
      </w:r>
    </w:p>
    <w:p>
      <w:r>
        <w:t>Compte tenu de l'issue du recours, il n'est pas perçu de frais ( art. 66 al. 1 et 4 LTF ). Ayant obtenu gain de cause avec l'aide d'un mandataire professionnel, le recourant a droit à des dépens ( art. 68 al. 1 et 2 LTF ). Le recourant ayant été considéré comme succombant entièrement devant l'instance précédente, il y a lieu de renvoyer la cause à cette dernière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