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651/2008 vom 20. April 2009</w:t>
      </w:r>
    </w:p>
    <w:p>
      <w:r>
        <w:t>Bundesgericht, 2009-04-20, DE</w:t>
      </w:r>
    </w:p>
    <w:p>
      <w:r>
        <w:rPr>
          <w:b/>
        </w:rPr>
        <w:t xml:space="preserve">Quelle: </w:t>
      </w:r>
      <w:r>
        <w:t>https://mcp.opencaselaw.ch/entscheid/bger_2C_651_2008</w:t>
      </w:r>
    </w:p>
    <w:p>
      <w:r>
        <w:t>FR: TF 2C 651/2008 du 20 avril 2009</w:t>
      </w:r>
    </w:p>
    <w:p>
      <w:r>
        <w:t>IT: TF 2C 651/2008 del 20 aprile 2009</w:t>
      </w:r>
    </w:p>
    <w:p>
      <w:pPr>
        <w:pStyle w:val="Heading2"/>
      </w:pPr>
      <w:r>
        <w:t>Regeste</w:t>
      </w:r>
    </w:p>
    <w:p>
      <w:r>
        <w:t>Aufenthaltsbewilligung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streitige Gesuch um Verlängerung einer Aufenthaltsbewilligung wurde vor Inkrafttreten des Bundesgesetzes vom 16. Dezember 2005 über die Ausländerinnen und Ausländer (AuG; SR 142.20) am 1. Januar 2008 eingereicht und beurteilt sich daher noch nach dem inzwischen aufgehobenen Bundesgesetz vom 26. Mai 1931 über Aufenthalt und Niederlassung der Ausländer (ANAG) und seinen Ausführungserlassen (Art. 126 Abs. 1 AuG).</w:t>
      </w:r>
    </w:p>
    <w:p>
      <w:r>
        <w:rPr>
          <w:b/>
        </w:rPr>
        <w:t>E. 1.3</w:t>
      </w:r>
    </w:p>
    <w:p>
      <w:r>
        <w:t>Gemäss Art. 17 Abs. 2 Satz 1 ANAG (in der Fassung vom 23. März 1990) hat der ausländische Ehegatte eines niedergelassenen Ausländers Anspruch auf Erteilung und Verlängerung der Aufenthaltsbewilligung, solange die Ehegatten zusammen wohnen. Der Beschwerdeführer ist mit einer in der Schweiz niederlassungsberechtigten Landsfrau verheiratet und lebt mit ihr zusammen. Damit steht ihm gestützt auf die erwähnte Bestimmung im Grundsatz ein Anspruch auf eine Aufenthaltsbewilligung zu. Die Beschwerde in öffentlich-rechtlichen Angelegenheiten erweist sich damit als zulässig ( Art. 83 lit. c Ziff. 2 BGG ).</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w:t>
      </w:r>
    </w:p>
    <w:p>
      <w:r>
        <w:rPr>
          <w:b/>
        </w:rPr>
        <w:t>E. 2</w:t>
      </w:r>
    </w:p>
    <w:p>
      <w:r>
        <w:t>Ein gemäss Art. 17 Abs. 2 ANAG bestehender Anspruch auf Erteilung und Verlängerung der Aufenthaltsbewilligung erlischt, wenn der Anspruchsberechtigte gegen die öffentliche Ordnung verstossen hat (Satz 4). Die betreffenden Voraussetzungen sind weniger streng als im Fall des ausländischen Ehegatten eines Schweizer Bürgers, in welchem ein Ausweisungsgrund im Sinne von Art. 10 ANAG vorliegen müsste. Die Verweigerung der Bewilligung muss jedoch verhältnismässig sein (vgl. BGE 120 Ib 129 E. 4 S. 130 f.; 122 II 385 E. 3a S. 390).</w:t>
      </w:r>
    </w:p>
    <w:p>
      <w:r>
        <w:rPr>
          <w:b/>
        </w:rPr>
        <w:t>E. 3.1</w:t>
      </w:r>
    </w:p>
    <w:p>
      <w:r>
        <w:t>Der Beschwerdeführer rügt vorab eine Verletzung seines Anspruchs auf rechtliches Gehör, weil das Obergericht entgegen dem ausdrücklich gestellten Antrag darauf verzichtet habe, seine Ehefrau persönlich zur Ehe und zum Familienleben zu befragen. Die Vorinstanz wäre, zumal sie aufgrund des Novenverbots im kantonalen Verwaltungsgerichtsbeschwerdeverfahren auch die schriftliche Eingabe der Ehefrau nicht beachtet habe, verpflichtet gewesen, sich einen eigenen Eindruck von der Sachlage zu verschaffen.</w:t>
      </w:r>
    </w:p>
    <w:p>
      <w:r>
        <w:rPr>
          <w:b/>
        </w:rPr>
        <w:t>E. 3.2</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132 II 485 E. 3.2 S. 494 ; 127 I 54 E. 2b S. 56; 117 Ia 262 E. 4b S. 268, mit Hinweisen). Nach der Rechtsprechung kann das Gericht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 BGE 130 II 425 E. 2.1 S. 428 ; 124 I 208 E. 4a S. 211). Art. 29 Abs. 2 BV vermittelt auch nicht zwingend das Recht, mündlich angehört zu werden. Eine mündliche Äusserungsmöglichkeit kann aber geboten sein wegen persönlicher Umstände, die sich nur aufgrund einer mündlichen Anhörung klären lassen (vgl. Gerold Steinmann, in: Kommentar BV, 2. Auflage 2008, Rz. 25 zu Art. 29 Abs. 2 BV ) bzw. wenn sich eine solche Anhörung für den zu fällenden Entscheid als unerlässlich erweist ( BGE 122 II 464 E. 4 S. 469 f.).</w:t>
      </w:r>
    </w:p>
    <w:p>
      <w:r>
        <w:rPr>
          <w:b/>
        </w:rPr>
        <w:t>E. 3.3</w:t>
      </w:r>
    </w:p>
    <w:p>
      <w:r>
        <w:t>Das Obergericht legt dem Beschwerdeführer als Verstoss gegen die öffentliche Ordnung im Sinne von Art. 17 Abs. 2 Satz 4 ANAG in erster Linie zur Last, dass er nach der erfolgten fremdenpolizeilichen Verwarnung weiterhin Schulden gemacht und zu Klagen im Zusammenhang mit häuslicher Gewalt Anlass gegeben habe (S. 11 des angefochtenen Entscheides). In tatsächlicher Hinsicht stellte es fest, dass dem Beschwerdeführer seit dem Jahre 2004 der Lohn bis auf das Existenzminimum gepfändet werde, wodurch es ihm gelungen sei, über die Hälfte seiner Schulden abzubauen (S. 9 des angefochtenen Entscheides). Weiter stellte das Gericht in tatsächlicher Hinsicht fest, dass die Anzeigen der Ehefrau wegen häuslicher Gewalt zurückgezogen wurden bzw. ein Strafverfahren wegen Drohung eingestellt worden ist (angefochtener Entscheid, ebenda). Damit sind die gegenüber dem Beschwerdeführer erhobenen Vorwürfe nicht so gravierend, dass sie ungeachtet der Interessenlage der Familie und der Frage, wie eng die eheliche Beziehung ist, zur Verweigerung der anbegehrten Bewilligung führen können. Vorliegend beruht die Auffassung der kantonalen Richter über die eheliche Situation des Beschwerdeführers einzig auf einem Bericht des Sozialamts (vgl. vorne lit. B). Es erscheint unter diesen Umständen willkürlich und mit einem fairen Verfahren ( Art. 29 BV ) unvereinbar, das Urteil auf ein indirektes Beweismittel abzustützen, ohne das verfügbare direkte Beweismittel (Befragung der Ehefrau) abzunehmen und so dem Beschwerdeführer zu ermöglichen, den Bericht des Sozialamtes in Frage zu stellen. Die Gehörsrüge erweist sich nach dem Gesagten als begründet, was zur Gutheissung der Beschwerde und zur Aufhebung des angefochtenen Urteils führt.</w:t>
      </w:r>
    </w:p>
    <w:p>
      <w:r>
        <w:rPr>
          <w:b/>
        </w:rPr>
        <w:t>E. 4.1</w:t>
      </w:r>
    </w:p>
    <w:p>
      <w:r>
        <w:t>Heisst das Bundesgericht die Beschwerde gut, so entscheidet es in der Sache selbst oder weist diese zu neuer Beurteilung an die Vorinstanz zurück. Es kann die Sache auch an die Behörde zurückweisen, die als erste Instanz entschieden hat ( Art. 107 Abs. 2 BGG ). Vorliegend erscheint es angezeigt, die Sache an das Obergericht des Kantons Uri zurückzuweisen, damit dieses den Sachverhalt unter Einhaltung der wesentlichen Verfahrensbestimmungen feststellt. Von Bundesrechts wegen wird in diesem Zusammenhang auch Folgendes zu berücksichtigen sein:</w:t>
      </w:r>
    </w:p>
    <w:p>
      <w:r>
        <w:rPr>
          <w:b/>
        </w:rPr>
        <w:t>E. 4.2</w:t>
      </w:r>
    </w:p>
    <w:p>
      <w:r>
        <w:t>Das Bundesgerichtsgesetz schreibt den Kantonen vor, dass die richterliche Vorinstanz des Bundesgerichts oder ein vorgängig zuständiges Gericht den Sachverhalt frei prüft und das Recht von Amtes wegen anwendet ( Art. 110 BGG ). Daraus folgt, dass der Sachverhalt im gerichtlichen Verfahren zu erstellen ist, weshalb diesem auch neue Tatsachen und Beweismittel unterbreitet werden können (Alfred Kölz/ Jürg Bosshart/Martin Röhl, Kommentar zum Verwaltungsrechtspflegegesetz des Kantons Zürich, 2. Aufl., Zürich 1999, N 11 zu § 52; Ruth Herzog, Art. 6 EMRK und kantonale Verwaltungsrechtspflege, S. 372; Heiner Wohlfart, Anforderungen der Art. 6 Abs. 1 EMRK und Art. 98a OG an die kantonalen Verwaltungsrechtspflegegesetze, in: AJP 1995 S. 1431). Damit wird die Rechtsweggarantie von Art. 29a BV bzw. Art. 6 EMRK umgesetzt, welche eine uneingeschränkte Sachverhalts- und Rechtskontrolle durch (wenigstens) ein Gericht verlangt. Die Erwägungen des Obergerichts, wonach für seinen Rechtsmittelentscheid die Sachlage zur Zeit des Erlasses der erstinstanzlichen Verfügung massgebend sei und nachträgliche Veränderungen wegen des kantonalen prozessrechtlichen Novenverbots nicht berücksichtigt werden könnten (S. 5/6 des angefochtenen Entscheides), halten damit heutiger bundesgerichtlicher Überprüfung nicht (mehr) stand (vgl. dazu auch das zur Publikation vorgesehene Urteil 2C_607/2008 vom 24. März 2009, E. 3.3). Die Beschwerde ist auch aus diesem Grund gutzuheissen.</w:t>
      </w:r>
    </w:p>
    <w:p>
      <w:r>
        <w:rPr>
          <w:b/>
        </w:rPr>
        <w:t>E. 5</w:t>
      </w:r>
    </w:p>
    <w:p>
      <w:r>
        <w:t>Bei diesem Ausgang des Verfahrens sind keine Gerichtskosten zu erheben ( Art. 66 Abs. 4 BGG ). Hingegen hat der Kanton Uri den Beschwerdeführer für das bundesgerichtliche Verfahren angemessen zu entschädigen ( Art. 68 BGG ). Damit wird das gestellte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