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2C_647/2007 vom 7. Mai 2008</w:t>
      </w:r>
    </w:p>
    <w:p>
      <w:r>
        <w:t>Bundesgericht, 2008-05-07, FR</w:t>
      </w:r>
    </w:p>
    <w:p>
      <w:r>
        <w:rPr>
          <w:b/>
        </w:rPr>
        <w:t xml:space="preserve">Quelle: </w:t>
      </w:r>
      <w:r>
        <w:t>https://mcp.opencaselaw.ch/entscheid/bger_2C_647_2007</w:t>
      </w:r>
    </w:p>
    <w:p>
      <w:r>
        <w:t>FR: TF 2C_647/2007 du 7 mai 2008</w:t>
      </w:r>
    </w:p>
    <w:p>
      <w:r>
        <w:t>IT: TF 2C_647/2007 del 7 maggio 2008</w:t>
      </w:r>
    </w:p>
    <w:p>
      <w:pPr>
        <w:pStyle w:val="Heading2"/>
      </w:pPr>
      <w:r>
        <w:t>Erwägungen</w:t>
      </w:r>
    </w:p>
    <w:p>
      <w:r>
        <w:rPr>
          <w:b/>
        </w:rPr>
        <w:t>E. 1.1</w:t>
      </w:r>
    </w:p>
    <w:p>
      <w:r>
        <w:t>Dans la mesure où il est contesté par la recourante, l'arrêt du 16 octobre 2007 constitue une décision de renvoi de nature incidente au sens de l'art. 93 de la loi du 17 juin 2005 sur le Tribunal fédéral (LTF; RS 173.110). Etant propre à causer à la recourante un préjudice irréparable, il peut séparément faire l'objet d'un recours (cf. ATF 133 V 477 consid. 5.2 p. 483 ss). Au demeurant, cette décision a été rendue dans une cause de droit public ( art. 82 lettre a LTF ) par le Tribunal administratif fédéral ( art. 86 al. 1 lettre a LTF ). Déposé dans le délai ( art. 100 al. 1 LTF ) et la forme ( art. 42 LTF ) prévus par la loi et ne tombant sous aucun des cas d'exceptions mentionnés à l' art. 83 LTF , le recours est en principe recevable.</w:t>
      </w:r>
    </w:p>
    <w:p>
      <w:r>
        <w:t>En vertu des art. 54 al. 2 de l'ordonnance fédérale du 22 juin 1994 régissant la taxe sur la valeur ajoutée (OTVA; RO 1994 II 1464 et les modifications ultérieures), 5 de l'ordonnance du 11 décembre 2000 sur l'organisation du Département fédéral des finances (Org DFF; RS 172.215.1) et 45b al. 2 de l'ordonnance du 29 mars 2000 relative à la loi sur la TVA (OLTVA; RS 641.201), l'Administration fédérale a qualité pour recourir ( art. 89 al. 2 lettre a LTF ).</w:t>
      </w:r>
    </w:p>
    <w:p>
      <w:r>
        <w:rPr>
          <w:b/>
        </w:rPr>
        <w:t>E. 1.2</w:t>
      </w:r>
    </w:p>
    <w:p>
      <w:r>
        <w:t>Le Tribunal fédéral conduit son raisonnement juridique sur la base des faits établis par l'autorité précédente ( art. 105 al. 1 LTF ). Selon l' art. 99 al. 1 LTF , aucun fait nouveau ni preuve nouvelle ne peut être présenté à moins de résulter de la décision de l'autorité précédente.</w:t>
      </w:r>
    </w:p>
    <w:p>
      <w:r>
        <w:t>En l'occurrence, l'autorité intimée a retenu la qualification d'apports notamment sur la base du critère de la rentabilité de l'activité de l'intimée, qui n'avait pas été utilisé jusque-là (l'autorité intimée s'est référée à l'arrêt du Tribunal de céans 2A.410/2006 du 18 janvier 2007, rés. RF 62/2007 p. 587). A cet égard, la recourante est ainsi admise à alléguer des faits nouveaux et à produire de nouveaux moyens de preuve. Du reste, il s'agit en partie de faits notoires, dans la mesure où ils ressortent du registre du commerce (la société d'économie mixte évoquée par la recourante n'est autre, en effet, que Télégruyère SA).</w:t>
      </w:r>
    </w:p>
    <w:p>
      <w:r>
        <w:rPr>
          <w:b/>
        </w:rPr>
        <w:t>E. 1.3</w:t>
      </w:r>
    </w:p>
    <w:p>
      <w:r>
        <w:t>Dans la procédure de recours en matière de droit public, la possibilité de déposer un recours joint n'existe que lorsque la loi le prévoit. Tel n'est pas le cas en matière de TVA (cf. 2A.253/2000, Archives 71 p. 251, consid. 1c). Par conséquent, les conclusions de l'intimée, qui reprend celles formées dans le cadre de la procédure de réclamation, sont irrecevables.</w:t>
      </w:r>
    </w:p>
    <w:p>
      <w:r>
        <w:rPr>
          <w:b/>
        </w:rPr>
        <w:t>E. 2</w:t>
      </w:r>
    </w:p>
    <w:p>
      <w:r>
        <w:t>L'ordonnance régissant la taxe sur la valeur ajoutée, entrée en vigueur le 1er janvier 1995, a été remplacée par la loi fédérale régissant la taxe sur la valeur ajoutée, du 2 septembre 1999 (loi sur la TVA, LTVA; RS 641.20),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janvier 1996 au 31 décembre 2000.</w:t>
      </w:r>
    </w:p>
    <w:p>
      <w:r>
        <w:rPr>
          <w:b/>
        </w:rPr>
        <w:t>E. 3.1</w:t>
      </w:r>
    </w:p>
    <w:p>
      <w:r>
        <w:t>Les subventions sont des versements des pouvoirs publics qui visent à inciter leur bénéficiaire à adopter une certaine attitude ou à effectuer certaines tâches dans un but d'intérêt public. Hormis le comportement attendu de leur bénéficiaire, ces montants sont alloués "gratuitement", c'est-à-dire sans contrepartie économique équivalente en faveur de la collectivité qui les verse ( ATF 126 II 443 consid. 6c; 2A.273/2004, RF 61/2006 p. 239, consid. 2.3; cf. également art. 8 de l'ordonnance du Conseil fédéral du 29 mars 2000 relative à la LTVA [OLTVA; RS 641.201]). Les dons ressemblent aux subventions par le fait que leur auteur - une personne physique ou morale de droit privé - entend, par son attribution, donner au bénéficiaire les moyens d'exercer son activité. Le donateur n'agit pas afin que le bénéficiaire lui fasse une prestation déterminée, mais en vue de promouvoir son activité en général ( ATF 126 II 443 consid. 8a et 8b; 2A.526/2003, RF 59/2004 p. 789, consid. 1.1).</w:t>
      </w:r>
    </w:p>
    <w:p>
      <w:r>
        <w:t>Les subventions et dons visent à encourager et soutenir une activité qui ne serait pas viable par elle-même ou la commercialisation de produits ou de services à un prix réduit par rapport au marché. Elles représentent des recettes supplémentaires qui complètent les chiffres d'affaires (imposables, exclus ou exonérés) du bénéficiaire ( ATF 132 II 353 consid. 7.1).</w:t>
      </w:r>
    </w:p>
    <w:p>
      <w:r>
        <w:t>Les subventions ne font pas partie de la contre-prestation imposable ( art. 26 al. 6 lettre b OTVA ) et ne sont donc pas soumises à la TVA. En vertu de l' art. 30 al. 6 OTVA , l'assujetti qui reçoit des subventions doit réduire proportionnellement l'impôt préalable déductible. Cette réduction tient compte du fait que, dans la mesure où leur prix est diminué par une subvention, la livraison de certains biens ou la fourniture de certaines prestations ne génèrent pas de contre-prestation imposable, donnant droit à la déduction de l'impôt préalable selon l' art. 29 al. 1 OTVA . Il importe d'empêcher la récupération de cet impôt, afin d'éviter que les assujettis bénéficiant de subventions puissent inscrire un surplus d'impôt préalable dans chaque décompte et qu'ils soient ainsi mis au bénéfice d'un autre "subventionnement" indirect ( ATF 126 II 443 consid. 6d p. 454; cf. aussi le rapport de la Commission de l'économie et des redevances du Conseil national concernant l'initiative parlementaire "Loi fédérale sur la taxe sur la valeur ajoutée [Dettling]", FF 1996 V 701 ss, ad art. 36 al. 7). Les dons sont soumis au même régime que les subventions ( ATF 126 II 443 consid. 8).</w:t>
      </w:r>
    </w:p>
    <w:p>
      <w:r>
        <w:rPr>
          <w:b/>
        </w:rPr>
        <w:t>E. 3.2</w:t>
      </w:r>
    </w:p>
    <w:p>
      <w:r>
        <w:t>Les apports représentent des opérations de financement permettant à la société qui les obtient d'exercer une activité génératrice de plus-value en suivant les lois du marché. A la différence des subventions et des dons, ils ne représentent donc pas des chiffres d'affaires complémentaires ( ATF 132 II 353 consid. 5.1 et 7.1).</w:t>
      </w:r>
    </w:p>
    <w:p>
      <w:r>
        <w:t>Les actionnaires ou associés qui procèdent à des apports n'entretiennent pas des relations bénévoles ou gratuites avec la société, car ils comptent bénéficier d'un retour sur les investissements qu'ils consen-tent. En effectuant les apports, ils acquièrent une participation au capital de la société, avec les droits et les obligations correspondants (2A.410/2006, précité, consid. 5.3).</w:t>
      </w:r>
    </w:p>
    <w:p>
      <w:r>
        <w:t>Selon la doctrine suisse, les apports sont considérés comme des activités ne relevant pas de la TVA ("activités qui ne sont pas considérées comme des transactions" au sens de l' art. 38 al. 4 LTVA ). La jurisprudence n'a pas tranché définitivement le point de savoir si cette qualification est exacte ou s'ils doivent être considérés comme exclus du champ de l'impôt, comme le sont les crédits ( art. 14 ch. 15 let. a OTVA ; art. 18 ch. 19 let. a LTVA ). Quoi qu'il en soit, ils ne donnent en principe pas droit à la déduction de l'impôt préalable des opérations qui sont en relation directe avec eux: la charge fiscale grevant les opérations d'amont (p. ex. les prestations de conseil) qui sont utilisées pour réaliser le financement n'est en principe pas déductible. Par ailleurs, il n'y a pas lieu de réduire la déduction de l'impôt préalable grevant les biens et services acquis à l'aide des apports ( ATF 132 II 353 consid. 6.2, 6.4 et 7.1).</w:t>
      </w:r>
    </w:p>
    <w:p>
      <w:r>
        <w:rPr>
          <w:b/>
        </w:rPr>
        <w:t>E. 3.3</w:t>
      </w:r>
    </w:p>
    <w:p>
      <w:r>
        <w:t>Lorsqu'une collectivité publique est membre d'une société commerciale et qu'elle procède à une attribution en faveur de celle-ci, la question est de savoir si, en droit de la TVA, cette attribution doit être considérée comme une subvention ou comme un apport. Pour trancher cette question, il faut considérer qu'une collectivité publique agit en principe dans l'intérêt public et non comme un investisseur ou un financier. Lorsqu'elle prend une participation dans une société commerciale, c'est donc généralement en premier lieu à des fins d'intérêt public ou général, parce que la société est importante à cet égard, ou dans un but de contrôle et d'information. Selon les circonstances, la prise de participation peut également tendre à obtenir un rendement économique. C'est ainsi, par exemple, que la participation des cantons dans les banques cantonales ne doit pas seulement favoriser leur développement économique - dans l'intérêt public -, mais aussi leur procurer des ressources supplémentaires. On doit donc admettre que, même si elle est membre de la société commerciale bénéficiant de l'attribution, la collectivité agit en principe d'abord dans l'intérêt public et non comme un particulier qui attend essentiellement un retour sur investissement.</w:t>
      </w:r>
    </w:p>
    <w:p>
      <w:r>
        <w:t>La rentabilité de la société bénéficiaire peut ainsi être un indice, mais n'est pas déterminante pour la qualification de l'attribution: s'il est clair qu'une collectivité n'a pas en principe à subventionner une activité économique rentable, elle peut consentir une attribution sans attendre de retour, c'est-à-dire sous la forme d'une subvention, à une société dont l'activité est en principe rentable mais qui traverse des difficultés passagères. On peut tout au plus se demander si la qualification de subvention devrait aussi être retenue dans le cas où tous les membres de la société - y compris les particuliers - accorderaient à celle-ci, dans le cadre d'un plan d'assainissement, une aide proportionnelle à leur participation. La question peut demeurer indécise en l'espèce.</w:t>
      </w:r>
    </w:p>
    <w:p>
      <w:r>
        <w:t>Il en va différemment lorsqu'un particulier procède à une attribution en faveur de la société dont il est membre: dans ce cas, il y a lieu de présumer qu'il agit dans le but d'obtenir un retour sur investissement, le cas échéant de limiter ses pertes; il fournit alors un apport. Ce n'est que si l'activité de la société est soutenue contre tout bon sens économique que les attributions seront qualifiées de "dons" (p. ex. lorsque la société sert à la pratique d'un hobby coûteux de l'actionnaire unique ou principal).</w:t>
      </w:r>
    </w:p>
    <w:p>
      <w:r>
        <w:t>La situation d'une collectivité publique diffère de celle d'un particulier aussi quant aux conditions auxquelles une libéralité peut être faite. Contrairement à un particulier, la collectivité n'est, en effet, pas libre à cet égard. La libéralité - au sens d'une subvention - qu'elle consent doit reposer sur une base légale ou être décidée par l'organe compétent au plan financier. Cela vaut également lorsque la collectivité est membre de la société qui en bénéficie.</w:t>
      </w:r>
    </w:p>
    <w:p>
      <w:r>
        <w:rPr>
          <w:b/>
        </w:rPr>
        <w:t>E. 4</w:t>
      </w:r>
    </w:p>
    <w:p>
      <w:r>
        <w:t>La loi fribourgeoise sur le tourisme du 20 septembre 1990 (en vigueur jusqu'au 31 décembre 2005) réglementait le Fonds d'équipement dans son chapitre quatrième (art. 39 ss). Intitulé "Modes ordinaires", son art. 42 disposait ce qui suit:</w:t>
      </w:r>
    </w:p>
    <w:p>
      <w:r>
        <w:t>"1 Le Fonds sert au financement de projets touristiques par l'un des modes suivants:</w:t>
      </w:r>
    </w:p>
    <w:p>
      <w:r>
        <w:t>a) la prise en charge d'une partie des intérêts, de 3% au maximum, pour une durée ne pouvant excéder douze ans;</w:t>
      </w:r>
    </w:p>
    <w:p>
      <w:r>
        <w:t>b) le prêt sans intérêt pour une durée de douze ans au maximum et correspondant à 30% au maximum de l'investissement global;</w:t>
      </w:r>
    </w:p>
    <w:p>
      <w:r>
        <w:t>c) la participation au capital.</w:t>
      </w:r>
    </w:p>
    <w:p>
      <w:r>
        <w:t>2 [...]".</w:t>
      </w:r>
    </w:p>
    <w:p>
      <w:r>
        <w:t>Intitulé "Mode extraordinaire", l'art. 43 de la loi avait la teneur suivante:</w:t>
      </w:r>
    </w:p>
    <w:p>
      <w:r>
        <w:t>"1 Lorsque des équipements importants et d'intérêt général pour le tourisme cantonal ne peuvent plus être maintenus financièrement et qu'il en résulte une mise en péril de l'économie de la région concernée, le comité de gestion peut accorder aux propriétaires de ces équipements des prêts sans intérêts, conditionnellement remboursables.</w:t>
      </w:r>
    </w:p>
    <w:p>
      <w:r>
        <w:t>[...]".</w:t>
      </w:r>
    </w:p>
    <w:p>
      <w:r>
        <w:t>L'art. 57 du règlement d'exécution de la loi du 20 septembre 1990 sur le tourisme, du 12 mars 1991, précisait ce qui suit:</w:t>
      </w:r>
    </w:p>
    <w:p>
      <w:r>
        <w:t>"1 L'aide extraordinaire prévue par l'article 43 de la loi peut être accordée notamment:</w:t>
      </w:r>
    </w:p>
    <w:p>
      <w:r>
        <w:t>a) lorsqu'un équipement ne peut plus être maintenu financièrement en raison d'exigences techniques imposées par une autorité compétente;</w:t>
      </w:r>
    </w:p>
    <w:p>
      <w:r>
        <w:t>b) après une opération d'assainissement financier, pour assurer à long terme la viabilité technique de l'équipement;</w:t>
      </w:r>
    </w:p>
    <w:p>
      <w:r>
        <w:t>[...]".</w:t>
      </w:r>
    </w:p>
    <w:p>
      <w:r>
        <w:t>Les objets de grande importance et d'intérêt général étaient définis à l'art. 59 al. 1 du règlement comme ceux:</w:t>
      </w:r>
    </w:p>
    <w:p>
      <w:r>
        <w:t>"a) dont la création ou la disparition ont une incidence importante et durable sur la capacité concurrentielle globale de l'offre touristique fribourgeoise,</w:t>
      </w:r>
    </w:p>
    <w:p>
      <w:r>
        <w:t>b) et dont l'accès n'est pas soumis à des restrictions particulières".</w:t>
      </w:r>
    </w:p>
    <w:p>
      <w:r>
        <w:t>Selon l'art. 44 al. 1 lettre c (applicable en vertu de l'art. 43 al. 3) de la loi, l'aide du Fonds était accordée pour des travaux de construction et de rénovation à la condition que "la ou les communes intéressées accordent, en fonction de leur capacité financière, une participation au projet si celui-ci est d'intérêt général".</w:t>
      </w:r>
    </w:p>
    <w:p>
      <w:r>
        <w:t>Les communes intéressées étaient celles "pour lesquelles l'équipement objet de l'aide représente un intérêt économique" (art. 62 al. 1 du règlement). Elles devaient participer à hauteur de 20% au minimum de l'aide du Fonds d'équipement si les travaux intéressaient une seule commune et de 30% si plusieurs communes étaient intéressées (art. 62 al. 2 et 3 du règlement).</w:t>
      </w:r>
    </w:p>
    <w:p>
      <w:r>
        <w:t>Quant au remboursement des prêts au sens de l'art. 43 al. 1 de la loi, le Comité de gestion du Fonds d'équipement en fixait les modalités (art. 58 du règlement).</w:t>
      </w:r>
    </w:p>
    <w:p>
      <w:r>
        <w:rPr>
          <w:b/>
        </w:rPr>
        <w:t>E. 5</w:t>
      </w:r>
    </w:p>
    <w:p>
      <w:r>
        <w:t>Seul est litigieux en l'espèce le traitement fiscal de l'octroi par la commune de Gruyères à l'intimée d'un prêt sans intérêt ainsi que de l'abandon de sa créance par ladite commune.</w:t>
      </w:r>
    </w:p>
    <w:p>
      <w:r>
        <w:t>Il ressort d'un procès-verbal de décision du Fonds d'équipement, daté du 27 avril et du 6 mai 1994, que le prêt accordé par celui-ci représentait une aide extraordinaire au sens de l'art. 43 de la loi. Selon le préambule de ce document, le réseau des installations de remontées mécaniques de Moléson-sur-Gruyères constitue un équipement important et d'intérêt général pour le tourisme cantonal. L'installation principale du réseau, la télécabine reliant Moléson Village à Plan Francey, devait à court terme faire l'objet d'importants aménagements afin d'être mise en conformité avec les exigences de l'Office fédéral des transports. Le coût global de ces aménagements était devisé à 380'783 fr. Le financement ne pouvait en être assumé par la société propriétaire. De plus, le fait que ces aménagements n'accroîtraient pas les prestations proposées à la clientèle et ne seraient suivis que d'une garantie de conformité limitée dans le temps "rendait illusoire une souscription publique de fonds". Dans ces conditions, le Fonds d'équipement avait décidé d'accepter la requête de la société propriétaire et de lui accorder un prêt sans intérêt conditionnellement remboursable de 295'000 fr. au maximum. Entre autres conditions auxquelles était subordonné le prêt, la société bénéficiaire devait procéder à l'ouverture d'un compte de construction sur lequel seraient versés les fonds (86'000 fr.) que les communes intéressées étaient légalement tenues de libérer. Le montant du prêt du Fonds d'investissement ne serait libéré qu'après que les fonds mis à disposition par les communes en question auraient été entièrement utilisés. En outre, la société bénéficiaire s'engageait à ne verser aucun dividende aux actionnaires pendant la durée du prêt.</w:t>
      </w:r>
    </w:p>
    <w:p>
      <w:r>
        <w:t>Ainsi, l'octroi du prêt litigieux par la commune de Gruyères représentait une condition légale du prêt du Fonds d'équipement, lequel était accordé en considération de l'intérêt général que les installations de remontées mécaniques en cause revêtaient pour le tourisme cantonal et compte tenu du fait qu'un mode de financement privé n'entrait pas en considération. La participation de la commune était exigée au vu de l'intérêt (public) économique que les installations revêtaient pour elle. Dans ces conditions, force est d'admettre qu'en octroyant le prêt sans intérêts, la commune de Gruyères n'a pas agi en vue d'obtenir un retour sur investissement, même si elle est actionnaire de l'intimée, mais dans l'intérêt public. Partant, la renonciation à percevoir des intérêts constitue une subvention en droit de la TVA.</w:t>
      </w:r>
    </w:p>
    <w:p>
      <w:r>
        <w:t>Quant à l'abandon de sa créance par la commune de Gruyères, il est intervenu après que le Fonds d'équipement eut décidé d'abandonner sa propre créance. Cette décision a été prise par le Comité de gestion du Fonds d'équipement lors d'une séance du 3 décembre 1998 (courrier du Fonds d'équipement à l'intimée du 13 janvier 1999) et faisait suite à une demande de l'intimée. Cette démarche a donc été décidée par un organisme qui n'a pas de participation dans l'intimée et qui a agi dans l'intérêt public. Il y a dès lors lieu d'admettre que l'abandon de sa créance par la commune de Gruyères, qui était lié à celui du Fonds d'équipement, était également motivé par l'intérêt public. En outre, l'abandon de créance n'est pas intervenu en juillet 1997 dans le cadre de l'opération de réduction du capital-actions avec augmentation simultanée, lors de laquelle une partie des nouvelles actions émises ont été libérées par compensation de créances (certains créanciers ayant accepté de convertir leurs créances en titres de participation), mais à la fin 1998. Or, il ne ressort pas du dossier que la commune de Gruyères ait à cette date obtenu des titres de participation supplémentaires en échange de l'abandon de sa créance. Pour ce motif également, son attribution doit être considérée comme une subvention.</w:t>
      </w:r>
    </w:p>
    <w:p>
      <w:r>
        <w:rPr>
          <w:b/>
        </w:rPr>
        <w:t>E. 6</w:t>
      </w:r>
    </w:p>
    <w:p>
      <w:r>
        <w:t>Les considérants qui précèdent conduisent à l'admission du recours et à l'annulation partielle de l'arrêt du Tribunal administratif fédéral du 16 octobre 2007. Il convient en outre de renvoyer la cause à l'Administration fédérale des contributions pour de nouveaux calculs, compte tenu notamment des factures mentionnées par le Tribunal administratif fédéral.</w:t>
      </w:r>
    </w:p>
    <w:p>
      <w:r>
        <w:t>Le cas échéant, le Tribunal administratif fédéral rendra une nouvelle décision concernant les frais de la procédure devant lui.</w:t>
      </w:r>
    </w:p>
    <w:p>
      <w:r>
        <w:t>Les frais judiciaires de la présente procédure, d'un montant de 2'000 fr., seront supportés par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