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2C_644/2012 vom 17. August 2012</w:t>
      </w:r>
    </w:p>
    <w:p>
      <w:r>
        <w:t>Bundesgericht, 2012-08-17, FR</w:t>
      </w:r>
    </w:p>
    <w:p>
      <w:r>
        <w:rPr>
          <w:b/>
        </w:rPr>
        <w:t xml:space="preserve">Quelle: </w:t>
      </w:r>
      <w:r>
        <w:t>https://mcp.opencaselaw.ch/entscheid/bger_2C_644_2012</w:t>
      </w:r>
    </w:p>
    <w:p>
      <w:r>
        <w:t>FR: TF 2C_644/2012 du 17 août 2012</w:t>
      </w:r>
    </w:p>
    <w:p>
      <w:r>
        <w:t>IT: TF 2C_644/2012 del 17 agosto 2012</w:t>
      </w:r>
    </w:p>
    <w:p>
      <w:pPr>
        <w:pStyle w:val="Heading2"/>
      </w:pPr>
      <w:r>
        <w:t>Erwägungen</w:t>
      </w:r>
    </w:p>
    <w:p>
      <w:r>
        <w:rPr>
          <w:b/>
        </w:rPr>
        <w:t>E. 1.1</w:t>
      </w:r>
    </w:p>
    <w:p>
      <w:r>
        <w:t>Le recourant invoque, sous l'angle de l' art. 8 CEDH , son droit à entretenir une relation avec sa fille qui est de nationalité suisse. Ce motif étant potentiellement de nature à lui conférer un droit à l'obtention d'une autorisation de séjour, son recours échappe au motif d'irrecevabilité prévu à l' art. 83 let . c ch. 2 LTF ( ATF 136 II 497 consid. 3.3 p. 501).</w:t>
      </w:r>
    </w:p>
    <w:p>
      <w:r>
        <w:t>Au surplus, dirigé contre un arrêt rendu en dernière instance cantonale par un tribunal supérieur (cf. art. 86 al. 1 let . d et al. 2 LTF), le recours a été déposé en temps utile (cf. art. 100 al. 1 et art. 46 al. 1 let. b LTF ) et dans les formes prescrites (cf. art. 42 LTF ) par une personne légitimée à recourir (cf. art. 89 al. 1 LTF ). Il est donc recevable en qualité de recours en matière de droit public.</w:t>
      </w:r>
    </w:p>
    <w:p>
      <w:r>
        <w:rPr>
          <w:b/>
        </w:rPr>
        <w:t>E. 1.2</w:t>
      </w:r>
    </w:p>
    <w:p>
      <w:r>
        <w:t>Saisi d'un recours en matière de droit public, le Tribunal fédéral se fonde sur les faits constatés par l'autorité précédente (cf. art. 105 al. 1 LTF ), à moins que ces faits n'aient été établis de façon manifestement inexacte - ce qui correspond à la notion d'arbitraire (cf. ATF 136 II 304 consid. 2.4 p. 313 s.) - ou en violation du droit au sens de l' art. 95 LTF (cf.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 ATF 137 II 353 consid. 5.1 p. 356).</w:t>
      </w:r>
    </w:p>
    <w:p>
      <w:r>
        <w:t>L'application de ces principes empêche de prendre en compte la version des événements figurant dans le recours qui s'écarte des constatations cantonales. En effet, le recourant se contente de présenter une argumentation appellatoire, sans alléguer ni a fortiori démontrer que les faits figurant dans l'arrêt attaqué seraient manifestement inexacts ou arbitraires, ce qui n'est pas admissible.</w:t>
      </w:r>
    </w:p>
    <w:p>
      <w:r>
        <w:rPr>
          <w:b/>
        </w:rPr>
        <w:t>E. 2.1</w:t>
      </w:r>
    </w:p>
    <w:p>
      <w:r>
        <w:t>Le présent litige porte sur le refus de prolonger l'autorisation de séjour dont bénéficie le recourant. Ce dernier, qui vit séparé de son épouse, sans que les conditions de l'art. 49 LEtr ne soient réalisées, ne peut se prévaloir de l'art. 42 LEtr.</w:t>
      </w:r>
    </w:p>
    <w:p>
      <w:r>
        <w:rPr>
          <w:b/>
        </w:rPr>
        <w:t>E. 2.2</w:t>
      </w:r>
    </w:p>
    <w:p>
      <w:r>
        <w:t>Selon l'art. 50 al. 1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(let. a) ou si la poursuite du séjour en Suisse s'impose pour des raisons personnelles majeures (let. b).</w:t>
      </w:r>
    </w:p>
    <w:p>
      <w:r>
        <w:t>En l'espèce, l'application de l'art. 50 al. 1 let. a LEtr n'entre pas en ligne de compte puisque l'union conjugale du recourant a duré moins de trois ans. En ce qui concerne les conditions de l'art. 50 al. 1 let. b LEtr, le Tribunal cantonal a retenu qu'elles n'étaient pas réunies non plus et il peut être renvoyé à ses considérants (cf. art. 109 al. 3 LTF ). Le recourant ne s'en prévaut d'ailleurs plus devant le Tribunal fédéral. Reste, sous l'angle de l' art. 8 CEDH , le droit du recourant à entretenir une relation avec sa fille qui est de nationalité suisse.</w:t>
      </w:r>
    </w:p>
    <w:p>
      <w:r>
        <w:rPr>
          <w:b/>
        </w:rPr>
        <w:t>E. 2.3</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 ATF 135 I 143 consid. 1.3.1 p. 145; 153 consid. 2.1 p. 154 s.). Pour autant, les liens familiaux ne sauraient conférer de manière absolue, en vertu de l' art. 8 CEDH , un droit d'entrée et de séjour (arrêt 2C_793/2011 du 22 février 2012 consid. 2.1). Selon une jurisprudence constante, un étranger peut néanmoins, selon les circonstances, se prévaloir du droit au respect de sa vie privée et familiale au sens de l' art. 8 par. 1 CEDH pour s'opposer à une éventuelle séparation de sa famille. Encore faut-il, pour pouvoir invoquer cette disposition, que la relation entre l'étranger et une personne de sa famille ayant le droit de résider durablement en Suisse soit étroite et effective. L' art. 8 CEDH s'applique lorsqu'un étranger fait valoir une relation intacte avec ses enfants bénéficiant du droit de résider en Suisse, même si ces derniers ne sont pas placés sous son autorité parentale ou sous sa garde du point de vue du droit de la famille (cf. arrêt 2C_679/2009 du 1er avril 2010 consid. 2.2).</w:t>
      </w:r>
    </w:p>
    <w:p>
      <w:r>
        <w:t>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2C_1031/2011 du 22 mars 2012 consid. 4.2.3). Un droit plus étendu peut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(arrêt 2C_972/2011 du 8 mai 2012 consid. 3.2.2).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arrêt 2C_315/2011 du 28 juillet 2011 consid. 3.2 et les références citées).</w:t>
      </w:r>
    </w:p>
    <w:p>
      <w:r>
        <w:rPr>
          <w:b/>
        </w:rPr>
        <w:t>E. 2.4</w:t>
      </w:r>
    </w:p>
    <w:p>
      <w:r>
        <w:t>En l'espèce, le recourant vit en Suisse depuis novembre 2008 seulement, et il n'y est pas intégré socialement et professionnellement. En effet, selon les constatations du Tribunal cantonal qui lient la Cour de céans (cf. supra consid. 1.2), il n'a pas de formation professionnelle et n'exerce pas d'activité lucrative suivie. Il a effectué quelques missions temporaires et bénéficie du revenu d'insertion depuis le 1er mars 2010. En outre, il a suivi l'ensemble de sa scolarité en Colombie où réside sa famille proche. Le fait qu'il soit le père d'une petite fille de nationalité suisse née en 2010 ne suffit pas à lui seul à justifier un droit de présence du recourant en Suisse. En effet, les époux X.________ se sont séparés moins de huit mois après la naissance de l'enfant et le droit de visite dont bénéficie le recourant a été fixé d'abord de façon restreinte et ne devrait être élargi à une fréquence usuelle qu'en septembre 2012. En outre, le droit de visite n'a pas été exercé jusqu'en septembre 2011. Enfin, le recourant ne s'est jamais acquitté du paiement de la contribution d'entretien à laquelle il est astreint. L'état de fait retenu par l'instance cantonale ne permet donc pas de conclure à un lien affectif particulièrement fort entre le père et la fillette.</w:t>
      </w:r>
    </w:p>
    <w:p>
      <w:r>
        <w:t>Le recourant fait valoir que c'est en raison de l'opposition de la mère de l'enfant qu'il a été empêché de nouer des liens affectifs plus étroits avec sa fille. Il estime avoir démontré un fort attachement à cette dernière en poursuivant sans désemparer et pendant une longue période des démarches auprès de la justice civile pour obtenir le rétablissement de ses droits. A son avis, le point central de la réflexion ne doit pas être la constatation que les relations concrètes entre le père et la fille sont effectivement faibles mais l'intensité de l'obstruction exercée par la mère de l'enfant. Or, ce qui est pertinent sous l'angle de l' art. 8 par. 1 CEDH , c'est la réalité et le caractère effectif des liens qu'un étranger a tissé avec le membre de sa famille qui bénéficie d'un droit de résider en Suisse (cf. ATF 135 I 143 consid. 3.1 p. 148), et force est de constater, avec l'instance cantonale, que l'on ne saurait considérer que le recourant entretient avec sa fille des relations étroites et effectives au sens où l'entend la jurisprudence. Le recourant ne peut par conséquent se prévaloir de l' art. 8 par. 1 CEDH . Pour le surplus, il peut être renvoyé aux considérants du Tribunal cantonal ( art. 109 al. 3 LTF ).</w:t>
      </w:r>
    </w:p>
    <w:p>
      <w:r>
        <w:rPr>
          <w:b/>
        </w:rPr>
        <w:t>E. 3</w:t>
      </w:r>
    </w:p>
    <w:p>
      <w:r>
        <w:t>Il suit de ce qui précède que le recours est manifestement mal fondé. Il doit donc être rejeté selon la procédure simplifiée prévue à l' art. 109 al. 2 let. a LTF .</w:t>
      </w:r>
    </w:p>
    <w:p>
      <w:r>
        <w:t>Dans la mesure où ses conclusions apparaissaient dénuées de chances de succès, le bénéfice de l'assistance judiciaire doit être refusé au recourant (cf. art. 64 al. 1 LTF ). Succombant, il supporte les frais judiciaires ( art. 66 al. 1 LTF ), qui seront toutefois fixés en tenant compte de sa situation financière, et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