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2C_642/2021 vom 3. September 2021</w:t>
      </w:r>
    </w:p>
    <w:p>
      <w:r>
        <w:t>Bundesgericht, 2021-09-03, DE</w:t>
      </w:r>
    </w:p>
    <w:p>
      <w:r>
        <w:rPr>
          <w:b/>
        </w:rPr>
        <w:t xml:space="preserve">Quelle: </w:t>
      </w:r>
      <w:r>
        <w:t>https://mcp.opencaselaw.ch/entscheid/bger_2C_642_2021</w:t>
      </w:r>
    </w:p>
    <w:p>
      <w:r>
        <w:t>FR: TF 2C_642/2021 du 3 septembre 2021</w:t>
      </w:r>
    </w:p>
    <w:p>
      <w:r>
        <w:t>IT: TF 2C_642/2021 del 3 settembre 2021</w:t>
      </w:r>
    </w:p>
    <w:p>
      <w:pPr>
        <w:pStyle w:val="Heading2"/>
      </w:pPr>
      <w:r>
        <w:t>Erwägungen</w:t>
      </w:r>
    </w:p>
    <w:p>
      <w:r>
        <w:rPr>
          <w:b/>
        </w:rPr>
        <w:t>E. 1.1</w:t>
      </w:r>
    </w:p>
    <w:p>
      <w:r>
        <w:t>Angefochten ist der letztinstanzliche, verfahrensabschliessende Entscheid eines kantonalen Gerichts auf dem Gebiet des öffentlichen Rechts. Grundsätzlich unterliegt ein solcher Entscheid der Beschwerde in öffentlich-rechtlichen Angelegenheiten an das Bundesgericht (vgl. Art. 82 lit. a, Art. 86 Abs. 1 lit. d, Art. 90 BGG ).</w:t>
      </w:r>
    </w:p>
    <w:p>
      <w:r>
        <w:rPr>
          <w:b/>
        </w:rPr>
        <w:t>E. 1.2</w:t>
      </w:r>
    </w:p>
    <w:p>
      <w:r>
        <w:t>Gemäss Art. 83 lit. c Ziff. 2 BGG ist die Beschwerde auf dem Gebiet des Ausländerrechts unzulässig gegen Entscheide betreffend Bewilligungen, auf die weder das Bundesrecht noch das Völkerrecht einen Anspruch einräumen. Für das Eintreten genügt, dass ein potentieller Anspruch in vertretbarer Weise dargetan wird.</w:t>
      </w:r>
    </w:p>
    <w:p>
      <w:r>
        <w:t>Vertretbar dargetan ist ein Bewilligungsanspruch vorliegend nur mit Blick auf Art. 8 Ziff. 1 EMRK . Der in der Beschwerde zusätzlich angerufene Art. 28 AIG räumt keine Rechtsansprüche ein (Urteil 2D_22/2016 vom 13. Juni 2016 E. 2.1); auch die subsidiäre Verfassungsbeschwerde steht diesbezüglich in der Sache nicht zur Verfügung (a.a.O., E. 2.2 und 2.3). Art. 42 Abs. 2 lit. b AIG ist auf die Beschwerdeführerin sodann nicht anwendbar, zumal sie keine dauerhafte Aufenthaltsbewilligung in einem Staat besitzt, mit dem die Schweiz ein Freizügigkeitsabkommen abgeschlossen hat (vgl. BGE 143 II 57 E. 3.2; Urteil 2C_836/2019 vom 18. März 2020 E. 2).</w:t>
      </w:r>
    </w:p>
    <w:p>
      <w:r>
        <w:rPr>
          <w:b/>
        </w:rPr>
        <w:t>E. 1.3</w:t>
      </w:r>
    </w:p>
    <w:p>
      <w:r>
        <w:t>Die übrigen Eintretensvoraussetzungen ( Art. 89 Abs. 1 BGG , Art. 100 Abs. 1 BGG , Art. 42 BGG ) geben nicht zu Bemerkungen Anlass. Auf die Beschwerde in öffentlich-rechtlichen Angelegenheiten ist einzutreten, soweit die Beschwerdeführerin einen Aufenthaltsanspruch aus Art. 8 Ziff. 1 EMRK ableitet.</w:t>
      </w:r>
    </w:p>
    <w:p>
      <w:r>
        <w:rPr>
          <w:b/>
        </w:rPr>
        <w:t>E. 2</w:t>
      </w:r>
    </w:p>
    <w:p>
      <w:r>
        <w:t>Die Beschwerdeführerin beanstandet punktuell den von der Vorinstanz festgestellten Sachverhalt. Diesbezüglich ist darauf hinzuweisen, dass das Bundesgericht an die Feststellungen seiner Vorinstanzen im Prinzip gebunden ist ( Art. 105 Abs. 1 BGG ). Es kann nur dann abweichende Feststellungen treffen, wenn der vorinstanzlich festgestellte Sachverhalt als offensichtlich unrichtig erscheint oder anderweitig auf einer Rechtsverletzung beruht ( Art. 105 Abs. 2 BGG ). "Offensichtlich unrichtig" bedeutet "willkürlich" ( BGE 140 III 115 E. 2). Die Rüge, wonach die Vorinstanz den Sachverhalt willkürlich festgestellt haben soll, bedarf besonderer Begründung ( Art. 106 Abs. 2 BGG ). Der Eingabe der Beschwerdeführerin an das Bundesgericht lassen sich keine Sachverhaltsrügen entnehmen, die diesen Anforderungen gerecht würden. Der Beurteilung des vorliegenden Falls ist vor diesem Hintergrund der vorinstanzlich festgestellte Sachverhalt zugrundezulegen.</w:t>
      </w:r>
    </w:p>
    <w:p>
      <w:r>
        <w:rPr>
          <w:b/>
        </w:rPr>
        <w:t>E. 3.1</w:t>
      </w:r>
    </w:p>
    <w:p>
      <w:r>
        <w:t>Art. 8 Ziff. 1 EMRK gewährleistet das Recht auf Achtung des Familienlebens. Dieses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zum Ganzen BGE 144 II 1 E. 6.1, m.w.H.).</w:t>
      </w:r>
    </w:p>
    <w:p>
      <w:r>
        <w:rPr>
          <w:b/>
        </w:rPr>
        <w:t>E. 3.2</w:t>
      </w:r>
    </w:p>
    <w:p>
      <w:r>
        <w:t>Die Vorinstanz kam in Anwendung der vorstehend zitierten bundesgerichtlichen Rechtsprechung zum Schluss, dass die Beziehung zwischen der 80-jährigen Beschwerdeführerin und ihrer in der Schweiz lebenden Tochter nicht in den Schutzbereich von Art. 8 Ziff. 1 EMRK falle. Wie aus einem von der Beschwerdeführerin eingereichten Arztzeugnis hervorgehe, habe sie sich zwar einer Herzoperation unterziehen müssen und es habe der Herzschrittmacher ausgewechselt werden müssen; eine dauernde Pflege- oder Betreuungsbedürftigkeit ergebe sich daraus jedoch nicht; auch die Beschwerdeführerin selbst anerkenne, nur "leicht pflegebedürftig" zu sein. Soweit die Beschwerdeführerin - so die Vorinstanz weiter - altersgerechte Unterstützung benötige, bekomme sie diese auch in ihrem Heimatland, sei es durch andere Verwandte, Drittpersonen oder entsprechende Institutionen. Wohl möge zutreffen, dass die Verhältnisse in der professionellen Pflege in Iran weniger ideal seien als in der Schweiz und die Unterstützungsbedürftigkeit älterer Menschen mitunter ausgenützt werde. Daraus folge jedoch nicht, dass die Betreuung nur durch die in der Schweiz lebende Tochter geleistet werden könne, auch wenn diese offenbar als Fachfrau Gesundheit in einem Pflegeheim tätig sei. Für ein Abhängigkeitsverhältnis reiche es sodann nicht, dass die Beschwerdeführerin eigenen Angaben zufolge auf die moralische und physische Nähe ihrer Tochter angewiesen sei. Sie habe bis anhin getrennt von ihrer Tochter im Iran gelebt. Es gebe keine Anhaltspunkte dafür, dass ihr dies nicht mehr möglich sei. Daran ändere auch der Wegzug des Sohnes aus Iran nach Kanada nichts (vgl. E. 3.3 des angefochtenen Entscheids).</w:t>
      </w:r>
    </w:p>
    <w:p>
      <w:r>
        <w:rPr>
          <w:b/>
        </w:rPr>
        <w:t>E. 3.3</w:t>
      </w:r>
    </w:p>
    <w:p>
      <w:r>
        <w:t>Die Würdigung der Vorinstanz ist im Ergebnis nicht zu beanstanden. Ein besonderes Abhängigkeitsverhältnis im Sinne der oben (vgl. E. 3.1 hiervor) wiedergegebenen Rechtsprechung ist nicht leichthin anzunehmen. Dass die Beschwerdeführerin zu ihrer Tochter eine enge und regelmässige Beziehung pflegt (vgl. S. 5 der Beschwerde), begründet noch kein besonderes Abhängigkeitsverhältnis (vgl. Urteile 2C_396/2021 vom 27. Mai 2021 E. 3.3; 2C_867/2016 vom 30. März 2017 E. 2.2). Auch das Vorliegen eines Pflege- und Betreuungsbedürfnisses (vgl. S. 5 f. und S. 8 der Beschwerde) genügt für sich genommen nicht; erforderlich ist zusätzlich, dass die betreffende Pflege- und Betreuungsleistung unabdingbar von den in der Schweiz anwesenheitsberechtigten Angehörigen erbracht werden muss (vgl. Urteile 2C_106/2021 vom 25. Juni 2021 E. 3.1; 2C_757/2019 vom 21. April 2020 E. 2.2.1). Davon ist vorliegend nach den für das Bundesgericht verbindlichen (vgl. E. 2 hiervor) Feststellungen der Vorinstanz nicht auszugehen. Auch die globale Covid-19-Pandemie (vgl. S. 8 der Beschwerde) vermag ein besonderes Abhängigketisverhältnis vorliegend nicht zu begründen.</w:t>
      </w:r>
    </w:p>
    <w:p>
      <w:r>
        <w:rPr>
          <w:b/>
        </w:rPr>
        <w:t>E. 3.4</w:t>
      </w:r>
    </w:p>
    <w:p>
      <w:r>
        <w:t>Die Beschwerde erweist sich damit als unbegründet und ist abzuweisen, soweit darauf einzutreten ist (vgl. E. 1.2 und 1.3 hiervor).</w:t>
      </w:r>
    </w:p>
    <w:p>
      <w:r>
        <w:rPr>
          <w:b/>
        </w:rPr>
        <w:t>E. 4</w:t>
      </w:r>
    </w:p>
    <w:p>
      <w:r>
        <w:t>Bei diesem Ausgang des Verfahrens (vgl. E. 3.4 hiervor) wird die unterliegende Beschwerdeführerin kostenpflichtig ( Art. 66 Abs. 1 BGG ). Mit dem ausführlich und zutreffend begründeten Urteil der Vorinstanz setzt sich die vorliegende Beschwerde nicht substanziiert auseinander. Die Beschwerde muss vor diesem Hintergrund als aussichtslos bezeichnet werden. Dem Gesuch um unentgeltliche Rechtspflege kann deshalb nicht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