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2C_639/2021 vom 9. September 2021</w:t>
      </w:r>
    </w:p>
    <w:p>
      <w:r>
        <w:t>Bundesgericht, 2021-09-09, IT</w:t>
      </w:r>
    </w:p>
    <w:p>
      <w:r>
        <w:rPr>
          <w:b/>
        </w:rPr>
        <w:t xml:space="preserve">Quelle: </w:t>
      </w:r>
      <w:r>
        <w:t>https://mcp.opencaselaw.ch/entscheid/bger_2C_639_2021</w:t>
      </w:r>
    </w:p>
    <w:p>
      <w:r>
        <w:t>FR: TF 2C_639/2021 du 9 septembre 2021</w:t>
      </w:r>
    </w:p>
    <w:p>
      <w:r>
        <w:t>IT: TF 2C_639/2021 del 9 settembre 2021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145 II 168 consid. 1 e richiamo).</w:t>
      </w:r>
    </w:p>
    <w:p>
      <w:r>
        <w:rPr>
          <w:b/>
        </w:rPr>
        <w:t>E. 2.1</w:t>
      </w:r>
    </w:p>
    <w:p>
      <w:r>
        <w:t>Oggetto di disamina dinanzi a questa Corte è la revoca (parziale) dell'effetto sospensivo concesso d'ufficio in via supercautelare al gravame esperito dalla qui ricorrente dinanzi al Tribunale cantonale amministrativo. In altre parole la pronuncia impugnata, che non pone fine alla vertenza e che è stata notificata separatamente, è una decisione incidentale ai sensi dell' art. 93 LTF (sentenza 2C_951/2019 del 16 luglio 2020 consid. 1.2 e riferimenti) nonché una misura cautelare contro la quale la ricorrente può, in virtù dell' art. 98 LTF , far valere soltanto la violazione di diritti costituzionali ( DTF 137 III 475 consid. 2; 134 II 192 consid. 1.5).</w:t>
      </w:r>
    </w:p>
    <w:p>
      <w:r>
        <w:rPr>
          <w:b/>
        </w:rPr>
        <w:t>E. 2.2</w:t>
      </w:r>
    </w:p>
    <w:p>
      <w:r>
        <w:t>Giusta l' art. 106 cpv. 2 LTF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142 II 369 consid. 2.1; 142 III 364 consid. 2.4).</w:t>
      </w:r>
    </w:p>
    <w:p>
      <w:r>
        <w:rPr>
          <w:b/>
        </w:rPr>
        <w:t>E. 2.3</w:t>
      </w:r>
    </w:p>
    <w:p>
      <w:r>
        <w:t>Nel caso specifico la ricorrente - che si limita a criticare le aggiudicazioni - non fa valere la violazione di alcun diritto costituzionale. L'impugnativa, che non contiene una motivazione che adempia le esigenze poste dall' art. 106 cpv. 2 LTF si rivela quindi manifestamente inammissibile.</w:t>
      </w:r>
    </w:p>
    <w:p>
      <w:r>
        <w:t>Visto quanto precede può rimanere irrisolta la questione di sapere quale rimedio di diritto (ricorso in materia di diritto pubblico o ricorso sussidiario in materia costituzionale cfr. art. 83 lett. f LTF) doveva essere esperito poiché in entrambi i casi soltanto la violazione di diritti costituzionali poteva in ogni caso essere addotta ( art. 98 LTF ) ciò che, come appena illustrato la ricorrente non ha fatto.</w:t>
      </w:r>
    </w:p>
    <w:p>
      <w:r>
        <w:rPr>
          <w:b/>
        </w:rPr>
        <w:t>E. 2.4</w:t>
      </w:r>
    </w:p>
    <w:p>
      <w:r>
        <w:t>Per i motivi illustrati, il gravame si avvera manifestamente inammissibile e va deciso secondo la procedura semplificata prevista dall' art. 108 LTF .</w:t>
      </w:r>
    </w:p>
    <w:p>
      <w:r>
        <w:rPr>
          <w:b/>
        </w:rPr>
        <w:t>E. 3</w:t>
      </w:r>
    </w:p>
    <w:p>
      <w:r>
        <w:t>Le spese giudiziarie seguono la soccombenza ( art. 66 cpv. 1 LTF ). Non si assegnano ripetibili alla B.________ SA, parte interessata, la quale non è stata invitata a determinarsi ( art. 68 cpv. 1 LTF ) né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