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2C_637/2017 vom 14. Mai 2018</w:t>
      </w:r>
    </w:p>
    <w:p>
      <w:r>
        <w:t>Bundesgericht, 2018-05-14, FR</w:t>
      </w:r>
    </w:p>
    <w:p>
      <w:r>
        <w:rPr>
          <w:b/>
        </w:rPr>
        <w:t xml:space="preserve">Quelle: </w:t>
      </w:r>
      <w:r>
        <w:t>https://mcp.opencaselaw.ch/entscheid/bger_2C_637_2017</w:t>
      </w:r>
    </w:p>
    <w:p>
      <w:r>
        <w:t>FR: TF 2C_637/2017 du 14 mai 2018</w:t>
      </w:r>
    </w:p>
    <w:p>
      <w:r>
        <w:t>IT: TF 2C_637/2017 del 14 maggio 2018</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Le litige porte sur l'affermage d'un alpage soumis à la législation sur le bail agricole. Il relève donc du droit public ( art. 82 let. a LTF ), sans tomber sous le coup de l' art. 83 let . s LTF. Partant, la voie du recours en matière de droit public est ouverte.</w:t>
      </w:r>
    </w:p>
    <w:p>
      <w:r>
        <w:rPr>
          <w:b/>
        </w:rPr>
        <w:t>E. 1.2</w:t>
      </w:r>
    </w:p>
    <w:p>
      <w:r>
        <w:t>La conclusion tendant au rejet du recours de la Commune contre la décision du 9 juin 2015 du Préfet est irrecevable, le Tribunal fédéral ne pouvant se prononcer sur un recours déposé par l'intimée devant une autre autorité. Il est, en outre, rappelé qu'en raison de l'effet dévolutif complet du recours auprès du Tribunal cantonal, l'arrêt de cette autorité se substitue à la décision du 9 juin 2015 du Préfet (cf. ATF 136 II 539 consid. 1.2 p. 543).</w:t>
      </w:r>
    </w:p>
    <w:p>
      <w:r>
        <w:rPr>
          <w:b/>
        </w:rPr>
        <w:t>E. 1.3.1</w:t>
      </w:r>
    </w:p>
    <w:p>
      <w:r>
        <w:t>La qualité pour recourir au sens de l' art. 89 al. 1 LTF suppose que l'intérêt digne de protection de la partie recourante à l'annulation ou à la modification de la décision entreprise soit actuel ( ATF 139 I 206 consid. 1.1 p. 208; 137 I 23 consid. 1.3.1 p. 24), intérêt qui doit exister non seulement au moment du dépôt du recours, mais encore au moment où l'arrêt est rendu. Si l'intérêt actuel disparaît avant le dépôt du recours devant le Tribunal fédéral, celui-ci est irrecevable; s'il disparaît au cours de la procédure devant le tribunal de céans, le recours devient sans objet ( ATF 142 I 135 consid. 1.3.1 p. 143; 137 I 296 consid. 4.2 p. 299; 137 II 40 consid. 2.1 p. 41).</w:t>
      </w:r>
    </w:p>
    <w:p>
      <w:r>
        <w:rPr>
          <w:b/>
        </w:rPr>
        <w:t>E. 1.3.2</w:t>
      </w:r>
    </w:p>
    <w:p>
      <w:r>
        <w:t>Le recourant conclut, devant le Tribunal fédéral, à ce que les parchets communaux "B.________" lui soient attribués et que la Commune soit chargée de déterminer les modalités de la location. Or, il est apparu au cours de la procédure devant le Tribunal fédéral que ces biens ont été vendus par la Commune en date du 16 septembre 2015. Les parcelles ne peuvent donc plus être affermées. Partant, le recourant n'a pas d'intérêt au recours.</w:t>
      </w:r>
    </w:p>
    <w:p>
      <w:r>
        <w:t>Dans la mesure où le recourant s'en prend, pour faire droit à ses conclusions, à la validité de la vente des parcelles à des agriculteurs qui ne sont pas domiciliés sur la commune de Villarsel-le-Gibloux, vente qui violerait les art. 142a de la loi fribourgeoise du 25 septembre 1980 sur les communes (LC; RS/FR 140.1) et 12 de la Convention, il faut ajouter que l'objet du litige a trait à la question du bail à ferme et pas aux actes de vente du 16 septembre 2015 relatifs aux biens immobiliers "B.________ ". L'objet de la contestation de la présente procédure, que l'objet du litige ne peut pas excéder ( ATF 136 II 457 consid. 4.2 p. 463; 136 II 165 consid. 5 p. 174), ne pouvait d'ailleurs pas inclure la validité des contrats de vente puisque ceux-ci ont été conclus postérieurement à la décision initiale, à savoir celle du 6 janvier 2014 par laquelle le Conseil communal a refusé de louer les parchets communaux "B.________" au recourant. Pour remettre en cause la validité desdits actes de vente, le recourant aurait dû s'en prendre à ceux-ci lors de leur publication dans la Feuille officielle du canton de Fribourg du 6 mai 2016. Cette question ne saurait être examinée à titre préjudiciel.</w:t>
      </w:r>
    </w:p>
    <w:p>
      <w:r>
        <w:rPr>
          <w:b/>
        </w:rPr>
        <w:t>E. 2</w:t>
      </w:r>
    </w:p>
    <w:p>
      <w:r>
        <w:t>Au regard de ce qui précède, le recours est irrecevable.</w:t>
      </w:r>
    </w:p>
    <w:p>
      <w:r>
        <w:t>Succombant, le recourant doit supporter les frais judiciaires ( art. 66 al. 1 LTF ). La Commune, agissant comme un particulier (cf. cause 2C_1016/2012) et non dans l'exercice de ses attributions officielles et qui est représentée par un avocat, a droit à des dépens (art. 68 al. 3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