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2C_635/2018 vom 24. Januar 2019</w:t>
      </w:r>
    </w:p>
    <w:p>
      <w:r>
        <w:t>Bundesgericht, 2019-01-24, DE</w:t>
      </w:r>
    </w:p>
    <w:p>
      <w:r>
        <w:rPr>
          <w:b/>
        </w:rPr>
        <w:t xml:space="preserve">Quelle: </w:t>
      </w:r>
      <w:r>
        <w:t>https://mcp.opencaselaw.ch/entscheid/bger_2C_635_2018</w:t>
      </w:r>
    </w:p>
    <w:p>
      <w:r>
        <w:t>FR: TF 2C_635/2018 du 24 janvier 2019</w:t>
      </w:r>
    </w:p>
    <w:p>
      <w:r>
        <w:t>IT: TF 2C_635/2018 del 24 gennaio 2019</w:t>
      </w:r>
    </w:p>
    <w:p>
      <w:pPr>
        <w:pStyle w:val="Heading2"/>
      </w:pPr>
      <w:r>
        <w:t>Erwägungen</w:t>
      </w:r>
    </w:p>
    <w:p>
      <w:r>
        <w:rPr>
          <w:b/>
        </w:rPr>
        <w:t>E. 1.1</w:t>
      </w:r>
    </w:p>
    <w:p>
      <w:r>
        <w:t>Die Vorinstanz hat betreffend die Staats- und Gemeindesteuern des Kantons Zürich der Steuerperiode 2013 und die direkte Bundessteuer der Steuerperiode 2013 ein einziges Urteil gefällt, was bei - wie vorliegend, vgl. unten, E. 4. - inhaltlich übereinstimmender Regelung der zu beurteilenden Rechtsfrage im Bundesrecht und im harmonisierten Recht zulässig ist. Die Beschwerdeführerin hat zulässigerweise nur eine einzige Beschwerdeschrift eingereicht. Das anhängig gemachte Beschwerdeverfahren kann auch vom Bundesgericht in einem einzigen Urteil entschieden werden ( BGE 142 II 293 E. 1.2 S. 296; 135 II 260 E. 1.3.1 S. 262; Urteil 2C_380/2010 vom 26. Oktober 2010 E. 1.2, E. 4).</w:t>
      </w:r>
    </w:p>
    <w:p>
      <w:r>
        <w:rPr>
          <w:b/>
        </w:rPr>
        <w:t>E. 1.2</w:t>
      </w:r>
    </w:p>
    <w:p>
      <w:r>
        <w:t>Gemäss Art. 42 Abs. 1 BGG hat die Beschwerdeschrift einen Antrag zu enthalten. Der gestellte Antrag auf Rückweisung an das kantonale Steueramt zur Festsetzung der Steuerfaktoren ist schon deswegen zulässig, weil das Bundesgericht mangels Festsetzung der massgeblichen Steuerfaktoren im angefochtenen Urteil ohnehin nicht in der Lage wäre, reformatorisch zu entscheiden (vgl. Art. 107 Abs. 2 BGG ; BGE 133 III 489 E. 3.1 S. 490, mit weiteren Hinweisen).</w:t>
      </w:r>
    </w:p>
    <w:p>
      <w:r>
        <w:rPr>
          <w:b/>
        </w:rPr>
        <w:t>E. 1.3</w:t>
      </w:r>
    </w:p>
    <w:p>
      <w:r>
        <w:t>Die Beschwerdeführerin, die am vorinstanzlichen Verfahren teilgenommen hat und mit ihren Anträgen unterlegen ist, hat ein schutzwürdiges Interesse an der Aufhebung und Abänderung des angefochtenen Urteils ( Art. 89 Abs. 1 BGG ). Sie ist zur Beschwerde legitimiert und darauf ist einzutreten.</w:t>
      </w:r>
    </w:p>
    <w:p>
      <w:r>
        <w:rPr>
          <w:b/>
        </w:rPr>
        <w:t>E. 1.4</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des Bundesgesetzes vom 14. Dezember 1990 über die Harmonisierung der direkten Steuern der Kantone und Gemeinden (StHG; SR 642.14)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2C_694/2014 vom 4. März 2015 E. 2.1; 2C_153/2014 vom 4. September 2014 E. 1.2).</w:t>
      </w:r>
    </w:p>
    <w:p>
      <w:r>
        <w:rPr>
          <w:b/>
        </w:rPr>
        <w:t>E. 2</w:t>
      </w:r>
    </w:p>
    <w:p>
      <w:r>
        <w:t>Die Beschwerdeführerin rügt eine unrichtige Sachverhaltsfeststellung, die Verletzung von Bundesrecht sowie die willkürliche Anwendung von kantonalem Recht. Die Vorinstanz habe in ihrer Sachverhaltsfeststellung ausgeführt, im VP 1 seien die BVG-pflichtigen Arbeitnehmer versichert worden, jedoch ohne Mitglieder der Geschäftsleitung. Obwohl die Beschwerdeführerin bereits im Einspracheverfahren darauf hingewiesen habe, dass nur die Mitglieder der Geschäftsleitung mit Lohn grösser als Fr. 150'000.-- ausgeschlossen seien, habe die Vorinstanz die falsche Sachverhaltsfeststellung unreflektiert übernommen. Weiterhin sei die Feststellung der Vorinstanz, im VP 1 sei der versicherte Jahreslohn auf eine Risikoleistung von Fr. 250'000.-- sowie auf eine Altersleistung beschränkt, ebenfalls offensichtlich unrichtig bzw. willkürlich. Die korrekte Feststellung des Sachverhalts sei wesentlich, weil die Vorinstanz erwogen habe, dass C.________ und D.________ gar nicht im VP 1 hätten versichert werden dürfen bzw. weil dies im Sinne der Beschwerdeführerin interpretiert bedeute, dass auch für alle anderen Mitarbeiter dieselben Bedingungen betreffend dem versicherten Lohn für die Altersleistung galten wie für den versicherten Herr B.________. Die massgeblichen Vorsorgepläne würden sämtliche Voraussetzungen, welche die Verordnung vom 18. April 1984 über die berufliche Alters-, Hinterlassenen- und Invalidenvorsorge (BVV 2; SR 831.441.1) aufstelle, erfüllen. Im Übrigen würden auch betriebliche Gründe dafür vorliegen, dass zeitweilig nur Herr B.________ in den VP 2 und VP 3 versichert werden konnte. Die Vorinstanz habe anerkannt, dass Herr C.________ entgegen den Behauptungen der Steuerrekurskommission sehr wohl die Lohngrenze von Fr. 150'000.-- in der Vergangenheit erreicht habe. So habe er bereits ein Jahr nach Inkrafttreten der Vorsorgepläne VP 1 und VP 2, nämlich im Jahr 2013, diese Grenze überschritten. Der Grund dafür sei, dass in diesen Jahren vorübergehend die Beschwerdeführerin die Autokosten für Herrn C.________ übernommen habe und ihm aus diesem Grund unter der Position Privatanteile "Auto" von jeweils Fr. 5'946.-- als AHV-pflichtiger Lohn hinzugerechnet wurde. Da diese Lohnbestandteile nicht regelmässig, sondern nur in diesem Jahr und im Jahr 2011 ausgerichtet worden seien, seien sie gestützt auf die geltenden Vorsorgereglemente, wonach Lohnbestandteile, die nur gelegentlich oder nur vorübergehend anfallen würden, nicht zum massgeblichen Lohn zählten, nicht versichert worden. Deshalb habe Herr C.________ die Grenze von Fr. 150'000.-- für die Zwecke der zweiten Säule nicht erreicht und sei dementsprechend auch nicht im VP 2 versichert worden. Im Jahre 2014 habe Herr C.________ aufgrund einer Auszahlung eines Bonus die Grenze von Fr. 150'000.-- ebenfalls überschritten; angesichts dessen, dass im Zeitpunkt, zu welchem der massgebliche Lohn berechnet wurde, die Höhe des Bonus noch nicht feststand, sei ein Lohn unter Fr. 150'000.-- gemeldet worden. Aufgrund einer Umstellung der Bonusregelung habe Herr C.________ im Jahr 2015 keinen Bonus erhalten und deshalb die massgebliche Schwelle auch nicht überschritten. Im Jahr 2016 habe der Lohn von Herr C.________ aber über Fr. 150'000.-- gelegen, weshalb er auch in die neu ausgestaltete Kadervorsorge aufgenommen worden sei. Die Schwelle von Fr. 150'000.-- als massgeblichem Lohn sei aus betrieblichen und sachlichen Gründen gewählt worden, habe doch die Beschwerdeführerin qualifizierte neue Mitarbeiter gesucht, und sollten die neu aufgestellten Kaderpläne einen Anreiz dafür schaffen, Mitarbeiter anzuziehen, welche diesen Lohn erreichen wollten. Entgegen den Ausführungen der Vorinstanz sei keine auf Herr B.________ zugeschnittene Sonderlösung im Sinne einer "à la carte"-Versicherung getroffen worden. Durch die Verneinung der Abzugsfähigkeit der Arbeitgeberbeiträge habe die Vorinstanz die Art. 58 Abs. 1 lit. a in Verbindung mit Art. 59 Abs. 1 lit. b DBG verletzt und § 64 Abs. 1 Ziff. 1 in Verbindung mit § 65 Abs. 1 lit. b des Steuergesetz des Kantons Zürich vom 8. Juni 1997 (StG/ZH) willkürlich angewandt.</w:t>
      </w:r>
    </w:p>
    <w:p>
      <w:r>
        <w:t>I. Direkte Bundessteuer</w:t>
      </w:r>
    </w:p>
    <w:p>
      <w:r>
        <w:rPr>
          <w:b/>
        </w:rPr>
        <w:t>E. 3.1</w:t>
      </w:r>
    </w:p>
    <w:p>
      <w:r>
        <w:t>Gegenstand der Gewinnsteuer ist der Reingewinn ( Art. 57 DBG ). Zum geschäftsmässig begründeten Aufwand einer juristischen Person gehören die Zuwendungen an Vorsorgeeinrichtungen zugunsten des eigenen Personals, sofern jede zweckwidrige Verwendung ausgeschlossen ist ( Art. 59 Abs. 1 lit. b DBG ). Ebenso hält Art. 81 Abs. 1 BVG fest, dass die Beiträge der Arbeitgeber an die Vorsorgeeinrichtung und die Einlagen in die Arbeitgeberbeitragsreserven, einschliesslich derjenigen nach Artikel 65e, bei den direkten Steuern des Bundes, der Kantone und Gemeinden als Geschäftsaufwand gelten. Als Vorsorgeeinrichtungen im Sinne dieser Bestimmungen sind ausschliesslich Rechtsträger anzusehen, die der kollektiven beruflichen Vorsorge dienen (Urteil 2A.408/2002 vom 13. Februar 2004 E. 2.2).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 Art. 1 Abs. 1 BVG ). Gemäss Art. 1 Abs. 3 BVG präzisiert der Bundesrat die Grundsätze der Angemessenheit, der Kollektivität, der Gleichbehandlung, der Planmässigkeit sowie des Versicherungsprinzips. Die Präzisierung dieser Grundsätze ist in den Art. 1-1 h BVV 2 enthalten.</w:t>
      </w:r>
    </w:p>
    <w:p>
      <w:r>
        <w:rPr>
          <w:b/>
        </w:rPr>
        <w:t>E. 3.2</w:t>
      </w:r>
    </w:p>
    <w:p>
      <w:r>
        <w:t>Keine berufliche Vorsorge in diesem Sinn stellt das blosse Ansammeln eines den Vorsorgenehmern individuell zugeteilten Sparkapitals dar, das im Vorsorgefall ausbezahlt wird (Urteile 2C_745/2016, 2C_748/2016 vom 6. Februar 2017 E. 5.3; 2A.554/2006 vom 7. März 2007; 2A.408/2002 vom 13. Februar 2004 E. 2.2). In einer solchen Konstellation fehlt es regelmässig an einer beruflichen Vorsorge, welche die Grundsätze der Kollektivität und der Gleichbehandlung erfüllt. Um den Grundsatz der Kollektivität einzuhalten, muss die Vorsorgeeinrichtung oder das Vorsorgewerk in ihrem Reglement eines oder mehrere Kollektive von Versicherten vorsehen, und hat die Zugehörigkeit zu einem Kollektiv sich nach objektiven Kriterien zu richten wie insbesondere nach der Anzahl der Dienstjahre, der ausgeübten Funktion, der hierarchischen Stellung im Betrieb, dem Alter oder der Lohnhöhe ( Art. 1c Abs. 1 BVV 2 ). Zwar kann der Grundsatz der Kollektivität auch im Fall der Versicherung einer einzelnen Person eingehalten sein; dies setzt jedoch voraus, dass gemäss Reglement die Aufnahme weiterer Personen grundsätzlich möglich ist ( Art. 1c Abs. 2 BVV 2 ; virtuelle Kollektivität). Die Einhaltung des Grundsatzes der Gleichbehandlung erfordert, dass für alle Versicherten eines Kollektivs die gleichen reglementarischen Bedingungen im Vorsorgeplan gelten ( Art. 1f BVV 2 ).</w:t>
      </w:r>
    </w:p>
    <w:p>
      <w:r>
        <w:rPr>
          <w:b/>
        </w:rPr>
        <w:t>E. 3.3</w:t>
      </w:r>
    </w:p>
    <w:p>
      <w:r>
        <w:t>Hat eine juristische Person Zuwendungen an Rechtsträger vom Gewinn in Abzug gebracht, welche die oben genannten Anforderungen nicht erfüllen und somit nicht der kollektiven beruflichen Vorsorge dienen, stellt sich die Frage, ob diese Abzüge als</w:t>
      </w:r>
    </w:p>
    <w:p>
      <w:r>
        <w:t>nicht geschäftsmässig begründete Zuwendungen an Dritte zum steuerbaren Reingewinn zu zählen sind (Art. 59 Abs. 1 lit. b</w:t>
      </w:r>
    </w:p>
    <w:p>
      <w:r>
        <w:t>e contrario DBG; BGE 131 II 593 E. 5.2 S. 609) : Gemäss Art. 58 Abs. 1 lit. b fünfter Spiegelstrich DBG sind Abzüge für offene und verdeckte Gewinnausschüttungen sowie geschäftsmässig nicht begründete Zuwendungen an Dritte beim steuerbaren Reingewinn aufzurechnen.</w:t>
      </w:r>
    </w:p>
    <w:p>
      <w:r>
        <w:rPr>
          <w:b/>
        </w:rPr>
        <w:t>E. 3.4</w:t>
      </w:r>
    </w:p>
    <w:p>
      <w:r>
        <w:t>Im angefochtenen Urteil hat die Vorinstanz insbesondere erwogen, VP 2 und VP 3 würden grundsätzlich das Kriterium der (virtuellen) Kollektivität erfüllen, sei doch von einer bestehenden Möglichkeit der Aufnahme weiterer Mitarbeiter in die Kaderpläne auszugehen. Im vorliegenden Fall habe es aber im Machtbereich des Aktionärsdirektors gelegen, die Zusatzleistungen und Bonuszahlungen so zu regeln bzw. den Lohn der übrigen Geschäftsleistungsmitglieder so hoch festzulegen, dass sie ebenfalls in die VP 2 und VP 3 aufgenommen würden, oder die Lohnschwelle für die Aufnahme tiefer anzusetzen. Der Umstand, dass nur Herr B.________ angeschlossen gewesen sei, sei auf eine solche im Machtbereich des Aktionärsdirektors liegende Lohnfestsetzung zurückzuführen und somit nicht durch betriebliche Gründe gerechtfertigt gewesen, weshalb diese Vorsorgepläne die Voraussetzung der (effektiven, virtuellen) Kollektivität nicht erfüllen würden. Vielmehr sei aufgrund des Vorgehens darauf zu schliessen, dass eine allein auf ihn zugeschnittene Sonderlösung im Sinne einer "à la carte-Versicherung" abgeschlossen worden sei.</w:t>
      </w:r>
    </w:p>
    <w:p>
      <w:r>
        <w:rPr>
          <w:b/>
        </w:rPr>
        <w:t>E. 3.5</w:t>
      </w:r>
    </w:p>
    <w:p>
      <w:r>
        <w:t>Das Bundesgericht hat kürzlich entschieden, dass Vorsorgepläne, welche Kriterien enthalten, deren Erfüllung alleine vom Willen des Arbeitgebers abhängen, nicht als objektiv im Sinne von Art. 1c Abs. 1 Satz 2 BVV 2 qualifizieren würden, weshalb in solchen Konstellationen die Voraussetzung der Kollektivität regelmässig nicht erfüllt sei (Urteile 2C_745/2016, 2C_748/2016 vom 6. Februar 2017 E. 6.3, E. 6.5). Die Beschwerdeführerin macht zwar geltend, die Löhne hätten nicht einseitig durch die Gehaltspolitik eines Alleinaktionärs festgelegt werden können, sondern hätten einer vertraglichen Regelung unterstanden, stellt in ihrer Beschwerde aber nicht ansatzweise in Abrede, dass die letztlich für das Erreichen der massgeblichen Schwelle entscheidende Ausrichtung von "Lohnbestandteilen" (wie die Übernahme von Privatanteilen "Auto") von ihrem Willen, handelnd durch den (im massgeblichen Zeitpunkt) Alleinaktionär B.________ als einzigem Verwaltungsrat mit Einzelunterschrift, abhing. Ungeachtet dessen, dass die "Lohnhöhe" im weiten Sinne von Art. 1c Abs. 1 Satz 2 BVV 2 (zur arbeitsrechtlichen Qualifikation vgl. hingegen BGE 142 III 381 E. 2.1 S. 383; 139 III 155 E. 3.1 S. 156) grundsätzlich ein objektives Kriterium darstellt und ein darauf fussender Vorsorgeplan die Voraussetzung der Kollektivität erfüllt, fehlt es den Vorsorgeplänen VP 2 und VP 3 deswegen an Kollektivität, weil das Erreichen des Kriteriums "Lohnhöhe" im weiten Sinne von Art. 1c Abs. 1 Satz 2 BVV 2 im Ermessen des Arbeitgebers liegt. Der Abzug für die Zuwendung an den betreffenden Rechtsträger, der hinsichtlich der erwähnten Vorsorgepläne und in der vorliegend zu beurteilenden Steuerperiode 2013 nicht der kollektiven beruflichen Vorsorge diente, ist nicht im Sinne von Art. 59 Abs. 1 lit. b DBG geschäftsmässig begründet (oben, E. 3.1), weshalb er beim steuerbaren Reingewinn der Steuerperiode 2013 aufzurechnen ist (oben, E. 3.3). Die Beschwerde betreffend die direkte Bundessteuer erweist sich bereits aus diesem Grund als unbegründet und ist abzuweisen, ohne dass auf die weiteren Vorbringen noch weiter einzugehen wäre.</w:t>
      </w:r>
    </w:p>
    <w:p>
      <w:r>
        <w:t>II. Staats- und Gemeindesteuer</w:t>
      </w:r>
    </w:p>
    <w:p>
      <w:r>
        <w:rPr>
          <w:b/>
        </w:rPr>
        <w:t>E. 4</w:t>
      </w:r>
    </w:p>
    <w:p>
      <w:r>
        <w:t>In Übereinstimmung mit Art. 25 Abs. 1 lit. b StHG hält § 65 Abs. 1 lit. b StG /ZH fest, dass als geschäftsmässig begründeter Aufwand insbesondere Zuwendungen an Vorsorgeeinrichtungen zugunsten des eigenen Personals gelten, sofern jede zweckwidrige Verwendung ausgeschlossen ist. Auch übereinstimmend mit Art. 24 Abs. 1 lit. a StHG sieht § 64 Ziff. 2 lit. e StG /ZH vor, dass offene und verdeckte Gewinnausschüttungen sowie geschäftsmässig nicht begründete Zuwendungen an Dritte zum steuerbaren Reingewinn zählen. Diese Regelungen stimmen mit denjenigen der direkten Bundessteuer (Art. 59 Abs. 1 lit. b und Art. 58 Abs. 1 lit. b fünfter Spiegelstrich DBG) überein (Urteil 2C_380/2010 vom 26. Oktober 2010 E. 4), weshalb für die Begründung betreffend die Staats- und Gemeindesteuer auf diejenige zur direkten Bundessteuer verwiesen werden kann.</w:t>
      </w:r>
    </w:p>
    <w:p>
      <w:r>
        <w:rPr>
          <w:b/>
        </w:rPr>
        <w:t>E. 5</w:t>
      </w:r>
    </w:p>
    <w:p>
      <w:r>
        <w:t>Bei diesem Verfahrensausgang sind die Gerichtskosten der Beschwerdeführerin aufzuerlegen ( Art. 66 Abs. 1 BGG ). Parteientschädigungen werden nicht gesprochen ( Art. 68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